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6" Type="http://schemas.openxmlformats.org/officeDocument/2006/relationships/image" Target="images/VisualTeXIcon06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RedrawGroup" label="LaTeX 重绘">
          <menu id="VisualTeX.Mac.Word.RedrawSelection" label="重绘所选" size="large" image="VisualTeXIcon09" screentip="重绘所选 LaTeX 代码" supertip="识别所选文字中的 $...$、$$...$$、\(...\)、\[...\] 和常见公式环境，并在原位置换为可编辑公式。">
            <button id="VisualTeX.Mac.Word.RedrawSelectionImage" label="重绘为 VisualTeX 图片对象" onAction="VTWordRibbonRedrawSelectionImage"/>
            <button id="VisualTeX.Mac.Word.RedrawSelectionOmml" label="重绘为 Word OMML" onAction="VTWordRibbonRedrawSelectionOmml"/>
          </menu>
          <menu id="VisualTeX.Mac.Word.RedrawDocument" label="重绘全文" size="large" image="VisualTeXIcon06" screentip="重绘当前 Word 正文中的 LaTeX 代码" supertip="选择输出格式后立即扫描当前 Word 正文，并原位置换全部 LaTeX 公式。">
            <button id="VisualTeX.Mac.Word.RedrawDocumentImage" label="全文重绘为 VisualTeX 图片对象" onAction="VTWordRibbonRedrawDocumentImage"/>
            <button id="VisualTeX.Mac.Word.RedrawDocumentOmml" label="全文重绘为 Word OMML" onAction="VTWordRibbonRedrawDocumentOmml"/>
          </menu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