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CC0633"/>
          <w:sz w:val="17"/>
        </w:rPr>
        <w:t>TECHNICAL HOW-TO GUIDE</w:t>
      </w:r>
    </w:p>
    <w:p>
      <w:pPr>
        <w:pStyle w:val="Title"/>
        <w:spacing w:after="80"/>
      </w:pPr>
      <w:r>
        <w:t>Leakage-Safe Evaluation of an ROI Classifier</w:t>
      </w:r>
    </w:p>
    <w:p>
      <w:pPr>
        <w:spacing w:after="40"/>
      </w:pPr>
      <w:r>
        <w:rPr>
          <w:b/>
          <w:sz w:val="21"/>
        </w:rPr>
        <w:t>Reproduce five-fold model evidence with fold-local synthetic augmentation</w:t>
      </w:r>
    </w:p>
    <w:p>
      <w:pPr>
        <w:spacing w:after="140"/>
      </w:pPr>
      <w:r>
        <w:rPr>
          <w:color w:val="555555"/>
        </w:rPr>
        <w:t>Finley Thomson · Monem Moheq · Srinivas Suggu · Jarrod Hwang</w:t>
        <w:br/>
        <w:t>CMPT 310 – D100 Introduction to Artificial Intelligence, Summer 2026</w:t>
      </w:r>
    </w:p>
    <w:p>
      <w:r>
        <w:t>This guide shows another CMPT 310 student how to install, run, inspect, and troubleshoot the project’s canonical model-evaluation pipeline. The key technique is keeping synthetic generation inside each training fold, so every reported test result comes from a real project unseen during fitting or distribution estimation.</w:t>
      </w:r>
    </w:p>
    <w:tbl>
      <w:tblPr>
        <w:tblW w:type="auto" w:w="0"/>
        <w:tblLook w:firstColumn="1" w:firstRow="1" w:lastColumn="0" w:lastRow="0" w:noHBand="0" w:noVBand="1" w:val="04A0"/>
      </w:tblPr>
      <w:tblGrid>
        <w:gridCol w:w="3523"/>
        <w:gridCol w:w="3523"/>
        <w:gridCol w:w="3523"/>
      </w:tblGrid>
      <w:tr>
        <w:tc>
          <w:tcPr>
            <w:tcW w:type="dxa" w:w="3523"/>
            <w:shd w:fill="F4F5F6"/>
          </w:tcPr>
          <w:p>
            <w:r>
              <w:rPr>
                <w:b/>
                <w:color w:val="CC0633"/>
              </w:rPr>
              <w:t>Input</w:t>
              <w:br/>
            </w:r>
            <w:r>
              <w:rPr>
                <w:sz w:val="16"/>
              </w:rPr>
              <w:t>A 224-row project-level CSV with seven prediction features and Low/Medium/High labels.</w:t>
            </w:r>
          </w:p>
        </w:tc>
        <w:tc>
          <w:tcPr>
            <w:tcW w:type="dxa" w:w="3523"/>
            <w:shd w:fill="F4F5F6"/>
          </w:tcPr>
          <w:p>
            <w:r>
              <w:rPr>
                <w:b/>
                <w:color w:val="CC0633"/>
              </w:rPr>
              <w:t>Process</w:t>
              <w:br/>
            </w:r>
            <w:r>
              <w:rPr>
                <w:sz w:val="16"/>
              </w:rPr>
              <w:t>Stratified five-fold evaluation of a majority baseline and random forests.</w:t>
            </w:r>
          </w:p>
        </w:tc>
        <w:tc>
          <w:tcPr>
            <w:tcW w:type="dxa" w:w="3523"/>
            <w:shd w:fill="F4F5F6"/>
          </w:tcPr>
          <w:p>
            <w:r>
              <w:rPr>
                <w:b/>
                <w:color w:val="CC0633"/>
              </w:rPr>
              <w:t>Output</w:t>
              <w:br/>
            </w:r>
            <w:r>
              <w:rPr>
                <w:sz w:val="16"/>
              </w:rPr>
              <w:t>CSV/JSON metrics, confusion matrices, comparison plot, and reproducibility manifest.</w:t>
            </w:r>
          </w:p>
        </w:tc>
      </w:tr>
    </w:tbl>
    <w:p>
      <w:pPr>
        <w:pStyle w:val="Heading1"/>
      </w:pPr>
      <w:r>
        <w:t>What you will learn</w:t>
      </w:r>
    </w:p>
    <w:p>
      <w:pPr>
        <w:pStyle w:val="ListBullet"/>
        <w:spacing w:after="40"/>
        <w:ind w:left="259" w:hanging="173"/>
      </w:pPr>
      <w:r>
        <w:t>Create an isolated Python environment and verify the data contract.</w:t>
      </w:r>
    </w:p>
    <w:p>
      <w:pPr>
        <w:pStyle w:val="ListBullet"/>
        <w:spacing w:after="40"/>
        <w:ind w:left="259" w:hanging="173"/>
      </w:pPr>
      <w:r>
        <w:t>Run a fast real-only comparison and the full custom/synthetic experiment.</w:t>
      </w:r>
    </w:p>
    <w:p>
      <w:pPr>
        <w:pStyle w:val="ListBullet"/>
        <w:spacing w:after="40"/>
        <w:ind w:left="259" w:hanging="173"/>
      </w:pPr>
      <w:r>
        <w:t>Explain why generating synthetic samples before splitting would leak information.</w:t>
      </w:r>
    </w:p>
    <w:p>
      <w:pPr>
        <w:pStyle w:val="ListBullet"/>
        <w:spacing w:after="40"/>
        <w:ind w:left="259" w:hanging="173"/>
      </w:pPr>
      <w:r>
        <w:t>Read accuracy, macro-F1, ordinal error, and normalized confusion matrices.</w:t>
      </w:r>
    </w:p>
    <w:p>
      <w:pPr>
        <w:pStyle w:val="ListBullet"/>
        <w:spacing w:after="40"/>
        <w:ind w:left="259" w:hanging="173"/>
      </w:pPr>
      <w:r>
        <w:t>Diagnose missing modules, columns, stale artifacts, and slow custom training.</w:t>
      </w:r>
    </w:p>
    <w:p>
      <w:pPr>
        <w:pStyle w:val="Heading1"/>
      </w:pPr>
      <w:r>
        <w:t>Prerequisites</w:t>
      </w:r>
    </w:p>
    <w:tbl>
      <w:tblPr>
        <w:tblW w:type="auto" w:w="0"/>
        <w:jc w:val="center"/>
        <w:tblLayout w:type="autofit"/>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3523"/>
        <w:gridCol w:w="3523"/>
        <w:gridCol w:w="3523"/>
      </w:tblGrid>
      <w:tr>
        <w:trPr>
          <w:tblHeader w:val="true"/>
        </w:trPr>
        <w:tc>
          <w:tcPr>
            <w:tcW w:type="dxa" w:w="3523"/>
            <w:shd w:fill="343A40"/>
            <w:tcMar>
              <w:top w:w="60" w:type="dxa"/>
              <w:start w:w="70" w:type="dxa"/>
              <w:bottom w:w="60" w:type="dxa"/>
              <w:end w:w="70" w:type="dxa"/>
            </w:tcMar>
          </w:tcPr>
          <w:p>
            <w:pPr>
              <w:spacing w:after="0"/>
            </w:pPr>
            <w:r>
              <w:rPr>
                <w:b/>
                <w:color w:val="FFFFFF"/>
                <w:sz w:val="15"/>
              </w:rPr>
              <w:t>Item</w:t>
            </w:r>
          </w:p>
        </w:tc>
        <w:tc>
          <w:tcPr>
            <w:tcW w:type="dxa" w:w="3523"/>
            <w:shd w:fill="343A40"/>
            <w:tcMar>
              <w:top w:w="60" w:type="dxa"/>
              <w:start w:w="70" w:type="dxa"/>
              <w:bottom w:w="60" w:type="dxa"/>
              <w:end w:w="70" w:type="dxa"/>
            </w:tcMar>
          </w:tcPr>
          <w:p>
            <w:pPr>
              <w:spacing w:after="0"/>
            </w:pPr>
            <w:r>
              <w:rPr>
                <w:b/>
                <w:color w:val="FFFFFF"/>
                <w:sz w:val="15"/>
              </w:rPr>
              <w:t>Recommended</w:t>
            </w:r>
          </w:p>
        </w:tc>
        <w:tc>
          <w:tcPr>
            <w:tcW w:type="dxa" w:w="3523"/>
            <w:shd w:fill="343A40"/>
            <w:tcMar>
              <w:top w:w="60" w:type="dxa"/>
              <w:start w:w="70" w:type="dxa"/>
              <w:bottom w:w="60" w:type="dxa"/>
              <w:end w:w="70" w:type="dxa"/>
            </w:tcMar>
          </w:tcPr>
          <w:p>
            <w:pPr>
              <w:spacing w:after="0"/>
            </w:pPr>
            <w:r>
              <w:rPr>
                <w:b/>
                <w:color w:val="FFFFFF"/>
                <w:sz w:val="15"/>
              </w:rPr>
              <w:t>Check</w:t>
            </w:r>
          </w:p>
        </w:tc>
      </w:tr>
      <w:tr>
        <w:tc>
          <w:tcPr>
            <w:tcW w:type="dxa" w:w="3523"/>
            <w:vAlign w:val="top"/>
            <w:tcMar>
              <w:top w:w="60" w:type="dxa"/>
              <w:start w:w="70" w:type="dxa"/>
              <w:bottom w:w="60" w:type="dxa"/>
              <w:end w:w="70" w:type="dxa"/>
            </w:tcMar>
          </w:tcPr>
          <w:p>
            <w:pPr>
              <w:spacing w:after="0"/>
            </w:pPr>
            <w:r>
              <w:rPr>
                <w:sz w:val="15"/>
              </w:rPr>
              <w:t>Python</w:t>
            </w:r>
          </w:p>
        </w:tc>
        <w:tc>
          <w:tcPr>
            <w:tcW w:type="dxa" w:w="3523"/>
            <w:vAlign w:val="top"/>
            <w:tcMar>
              <w:top w:w="60" w:type="dxa"/>
              <w:start w:w="70" w:type="dxa"/>
              <w:bottom w:w="60" w:type="dxa"/>
              <w:end w:w="70" w:type="dxa"/>
            </w:tcMar>
          </w:tcPr>
          <w:p>
            <w:pPr>
              <w:spacing w:after="0"/>
            </w:pPr>
            <w:r>
              <w:rPr>
                <w:sz w:val="15"/>
              </w:rPr>
              <w:t>3.11+; evidence runtime 3.12.13</w:t>
            </w:r>
          </w:p>
        </w:tc>
        <w:tc>
          <w:tcPr>
            <w:tcW w:type="dxa" w:w="3523"/>
            <w:vAlign w:val="top"/>
            <w:tcMar>
              <w:top w:w="60" w:type="dxa"/>
              <w:start w:w="70" w:type="dxa"/>
              <w:bottom w:w="60" w:type="dxa"/>
              <w:end w:w="70" w:type="dxa"/>
            </w:tcMar>
          </w:tcPr>
          <w:p>
            <w:pPr>
              <w:spacing w:after="0"/>
            </w:pPr>
            <w:r>
              <w:rPr>
                <w:sz w:val="15"/>
              </w:rPr>
              <w:t>python --version</w:t>
            </w:r>
          </w:p>
        </w:tc>
      </w:tr>
      <w:tr>
        <w:tc>
          <w:tcPr>
            <w:tcW w:type="dxa" w:w="3523"/>
            <w:shd w:fill="F4F5F6"/>
            <w:vAlign w:val="top"/>
            <w:tcMar>
              <w:top w:w="60" w:type="dxa"/>
              <w:start w:w="70" w:type="dxa"/>
              <w:bottom w:w="60" w:type="dxa"/>
              <w:end w:w="70" w:type="dxa"/>
            </w:tcMar>
          </w:tcPr>
          <w:p>
            <w:pPr>
              <w:spacing w:after="0"/>
            </w:pPr>
            <w:r>
              <w:rPr>
                <w:sz w:val="15"/>
              </w:rPr>
              <w:t>Shell</w:t>
            </w:r>
          </w:p>
        </w:tc>
        <w:tc>
          <w:tcPr>
            <w:tcW w:type="dxa" w:w="3523"/>
            <w:shd w:fill="F4F5F6"/>
            <w:vAlign w:val="top"/>
            <w:tcMar>
              <w:top w:w="60" w:type="dxa"/>
              <w:start w:w="70" w:type="dxa"/>
              <w:bottom w:w="60" w:type="dxa"/>
              <w:end w:w="70" w:type="dxa"/>
            </w:tcMar>
          </w:tcPr>
          <w:p>
            <w:pPr>
              <w:spacing w:after="0"/>
            </w:pPr>
            <w:r>
              <w:rPr>
                <w:sz w:val="15"/>
              </w:rPr>
              <w:t>Terminal, PowerShell, or VS Code</w:t>
            </w:r>
          </w:p>
        </w:tc>
        <w:tc>
          <w:tcPr>
            <w:tcW w:type="dxa" w:w="3523"/>
            <w:shd w:fill="F4F5F6"/>
            <w:vAlign w:val="top"/>
            <w:tcMar>
              <w:top w:w="60" w:type="dxa"/>
              <w:start w:w="70" w:type="dxa"/>
              <w:bottom w:w="60" w:type="dxa"/>
              <w:end w:w="70" w:type="dxa"/>
            </w:tcMar>
          </w:tcPr>
          <w:p>
            <w:pPr>
              <w:spacing w:after="0"/>
            </w:pPr>
            <w:r>
              <w:rPr>
                <w:sz w:val="15"/>
              </w:rPr>
              <w:t>Open at repository root</w:t>
            </w:r>
          </w:p>
        </w:tc>
      </w:tr>
      <w:tr>
        <w:tc>
          <w:tcPr>
            <w:tcW w:type="dxa" w:w="3523"/>
            <w:vAlign w:val="top"/>
            <w:tcMar>
              <w:top w:w="60" w:type="dxa"/>
              <w:start w:w="70" w:type="dxa"/>
              <w:bottom w:w="60" w:type="dxa"/>
              <w:end w:w="70" w:type="dxa"/>
            </w:tcMar>
          </w:tcPr>
          <w:p>
            <w:pPr>
              <w:spacing w:after="0"/>
            </w:pPr>
            <w:r>
              <w:rPr>
                <w:sz w:val="15"/>
              </w:rPr>
              <w:t>Disk</w:t>
            </w:r>
          </w:p>
        </w:tc>
        <w:tc>
          <w:tcPr>
            <w:tcW w:type="dxa" w:w="3523"/>
            <w:vAlign w:val="top"/>
            <w:tcMar>
              <w:top w:w="60" w:type="dxa"/>
              <w:start w:w="70" w:type="dxa"/>
              <w:bottom w:w="60" w:type="dxa"/>
              <w:end w:w="70" w:type="dxa"/>
            </w:tcMar>
          </w:tcPr>
          <w:p>
            <w:pPr>
              <w:spacing w:after="0"/>
            </w:pPr>
            <w:r>
              <w:rPr>
                <w:sz w:val="15"/>
              </w:rPr>
              <w:t>At least 500 MB</w:t>
            </w:r>
          </w:p>
        </w:tc>
        <w:tc>
          <w:tcPr>
            <w:tcW w:type="dxa" w:w="3523"/>
            <w:vAlign w:val="top"/>
            <w:tcMar>
              <w:top w:w="60" w:type="dxa"/>
              <w:start w:w="70" w:type="dxa"/>
              <w:bottom w:w="60" w:type="dxa"/>
              <w:end w:w="70" w:type="dxa"/>
            </w:tcMar>
          </w:tcPr>
          <w:p>
            <w:pPr>
              <w:spacing w:after="0"/>
            </w:pPr>
            <w:r>
              <w:rPr>
                <w:sz w:val="15"/>
              </w:rPr>
              <w:t>Use a new output folder</w:t>
            </w:r>
          </w:p>
        </w:tc>
      </w:tr>
      <w:tr>
        <w:tc>
          <w:tcPr>
            <w:tcW w:type="dxa" w:w="3523"/>
            <w:shd w:fill="F4F5F6"/>
            <w:vAlign w:val="top"/>
            <w:tcMar>
              <w:top w:w="60" w:type="dxa"/>
              <w:start w:w="70" w:type="dxa"/>
              <w:bottom w:w="60" w:type="dxa"/>
              <w:end w:w="70" w:type="dxa"/>
            </w:tcMar>
          </w:tcPr>
          <w:p>
            <w:pPr>
              <w:spacing w:after="0"/>
            </w:pPr>
            <w:r>
              <w:rPr>
                <w:sz w:val="15"/>
              </w:rPr>
              <w:t>Files</w:t>
            </w:r>
          </w:p>
        </w:tc>
        <w:tc>
          <w:tcPr>
            <w:tcW w:type="dxa" w:w="3523"/>
            <w:shd w:fill="F4F5F6"/>
            <w:vAlign w:val="top"/>
            <w:tcMar>
              <w:top w:w="60" w:type="dxa"/>
              <w:start w:w="70" w:type="dxa"/>
              <w:bottom w:w="60" w:type="dxa"/>
              <w:end w:w="70" w:type="dxa"/>
            </w:tcMar>
          </w:tcPr>
          <w:p>
            <w:pPr>
              <w:spacing w:after="0"/>
            </w:pPr>
            <w:r>
              <w:rPr>
                <w:sz w:val="15"/>
              </w:rPr>
              <w:t>Model/, Data/, requirements.txt</w:t>
            </w:r>
          </w:p>
        </w:tc>
        <w:tc>
          <w:tcPr>
            <w:tcW w:type="dxa" w:w="3523"/>
            <w:shd w:fill="F4F5F6"/>
            <w:vAlign w:val="top"/>
            <w:tcMar>
              <w:top w:w="60" w:type="dxa"/>
              <w:start w:w="70" w:type="dxa"/>
              <w:bottom w:w="60" w:type="dxa"/>
              <w:end w:w="70" w:type="dxa"/>
            </w:tcMar>
          </w:tcPr>
          <w:p>
            <w:pPr>
              <w:spacing w:after="0"/>
            </w:pPr>
            <w:r>
              <w:rPr>
                <w:sz w:val="15"/>
              </w:rPr>
              <w:t>Do not run inside Model/</w:t>
            </w:r>
          </w:p>
        </w:tc>
      </w:tr>
    </w:tbl>
    <w:tbl>
      <w:tblPr>
        <w:tblW w:type="auto" w:w="0"/>
        <w:jc w:val="center"/>
        <w:tblLayout w:type="autofit"/>
        <w:tblLook w:firstColumn="1" w:firstRow="1" w:lastColumn="0" w:lastRow="0" w:noHBand="0" w:noVBand="1" w:val="04A0"/>
        <w:tblBorders>
          <w:top w:val="single" w:sz="9" w:color="D99B1B"/>
          <w:left w:val="single" w:sz="9" w:color="D99B1B"/>
          <w:bottom w:val="single" w:sz="9" w:color="D99B1B"/>
          <w:right w:val="single" w:sz="9" w:color="D99B1B"/>
          <w:insideH w:val="single" w:sz="9" w:color="D99B1B"/>
          <w:insideV w:val="single" w:sz="9" w:color="D99B1B"/>
        </w:tblBorders>
      </w:tblPr>
      <w:tblGrid>
        <w:gridCol w:w="10570"/>
      </w:tblGrid>
      <w:tr>
        <w:tc>
          <w:tcPr>
            <w:tcW w:type="dxa" w:w="10570"/>
            <w:shd w:fill="FFF8E6"/>
            <w:tcMar>
              <w:top w:w="85" w:type="dxa"/>
              <w:start w:w="110" w:type="dxa"/>
              <w:bottom w:w="85" w:type="dxa"/>
              <w:end w:w="110" w:type="dxa"/>
            </w:tcMar>
          </w:tcPr>
          <w:p>
            <w:pPr>
              <w:spacing w:after="0"/>
            </w:pPr>
            <w:r>
              <w:t>Scope: This guide reproduces evaluation from the included final modeling CSV. Historical preprocessing scripts are not a clean raw-to-final pipeline because some upstream files and a local coordinate-conversion module are absent.</w:t>
            </w:r>
          </w:p>
        </w:tc>
      </w:tr>
    </w:tbl>
    <w:p>
      <w:r>
        <w:br w:type="page"/>
      </w:r>
    </w:p>
    <w:p>
      <w:pPr>
        <w:pStyle w:val="Heading1"/>
      </w:pPr>
      <w:r>
        <w:t>1. Set up the environment and verify the data</w:t>
      </w:r>
    </w:p>
    <w:p>
      <w:pPr>
        <w:pStyle w:val="Heading2"/>
      </w:pPr>
      <w:r>
        <w:t>1 · Open the repository root</w:t>
      </w:r>
    </w:p>
    <w:p>
      <w:r>
        <w:t>The directory should contain Model, Data, Artifacts, tests, and requirements.txt.</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cd CMPT310_Project_Group-14</w:t>
              <w:br/>
              <w:t>python --version</w:t>
            </w:r>
          </w:p>
        </w:tc>
      </w:tr>
    </w:tbl>
    <w:p>
      <w:pPr>
        <w:pStyle w:val="Heading2"/>
      </w:pPr>
      <w:r>
        <w:t>2 · Create and activate a virtual environment</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python -m venv .venv</w:t>
              <w:br/>
              <w:t># macOS/Linux</w:t>
              <w:br/>
              <w:t>source .venv/bin/activate</w:t>
              <w:br/>
              <w:t># Windows PowerShell</w:t>
              <w:br/>
              <w:t>.venv\Scripts\Activate.ps1</w:t>
            </w:r>
          </w:p>
        </w:tc>
      </w:tr>
    </w:tbl>
    <w:p>
      <w:pPr>
        <w:pStyle w:val="Heading2"/>
      </w:pPr>
      <w:r>
        <w:t>3 · Install the canonical dependencies</w:t>
      </w:r>
    </w:p>
    <w:p>
      <w:r>
        <w:t>The evaluation requires NumPy, pandas, scikit-learn, and Matplotlib.</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python -m pip install --upgrade pip</w:t>
              <w:br/>
              <w:t>python -m pip install -r requirements.txt</w:t>
            </w:r>
          </w:p>
        </w:tc>
      </w:tr>
    </w:tbl>
    <w:p>
      <w:pPr>
        <w:pStyle w:val="Heading2"/>
      </w:pPr>
      <w:r>
        <w:t>4 · Run the tests before a model experiment</w:t>
      </w:r>
    </w:p>
    <w:p>
      <w:r>
        <w:t>Expected result: Ran 5 tests ... OK</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python -m unittest discover -s tests -v</w:t>
            </w:r>
          </w:p>
        </w:tc>
      </w:tr>
    </w:tbl>
    <w:p>
      <w:pPr>
        <w:pStyle w:val="Heading2"/>
      </w:pPr>
      <w:r>
        <w:t>5 · Confirm the modeling table exists</w:t>
      </w:r>
    </w:p>
    <w:p>
      <w:r>
        <w:t>The evaluator checks columns, missing values, consecutive labels, and outcome-column leakage.</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Data/CSVs/Sorted/TH_DATA_BY_PROJECT_FINAL.csv</w:t>
            </w:r>
          </w:p>
        </w:tc>
      </w:tr>
    </w:tbl>
    <w:p>
      <w:pPr>
        <w:pStyle w:val="Heading2"/>
      </w:pPr>
      <w:r>
        <w:t>Required feature headers</w:t>
      </w:r>
    </w:p>
    <w:p>
      <w:pPr>
        <w:pStyle w:val="ListBullet"/>
        <w:spacing w:after="40"/>
        <w:ind w:left="259" w:hanging="173"/>
      </w:pPr>
      <w:r>
        <w:t>Initial Assessment</w:t>
      </w:r>
    </w:p>
    <w:p>
      <w:pPr>
        <w:pStyle w:val="ListBullet"/>
        <w:spacing w:after="40"/>
        <w:ind w:left="259" w:hanging="173"/>
      </w:pPr>
      <w:r>
        <w:t>Income</w:t>
      </w:r>
    </w:p>
    <w:p>
      <w:pPr>
        <w:pStyle w:val="ListBullet"/>
        <w:spacing w:after="40"/>
        <w:ind w:left="259" w:hanging="173"/>
      </w:pPr>
      <w:r>
        <w:t>Cost Per Unit</w:t>
      </w:r>
    </w:p>
    <w:p>
      <w:pPr>
        <w:pStyle w:val="ListBullet"/>
        <w:spacing w:after="40"/>
        <w:ind w:left="259" w:hanging="173"/>
      </w:pPr>
      <w:r>
        <w:t>Distance To Downtown</w:t>
      </w:r>
    </w:p>
    <w:p>
      <w:pPr>
        <w:pStyle w:val="ListBullet"/>
        <w:spacing w:after="40"/>
        <w:ind w:left="259" w:hanging="173"/>
      </w:pPr>
      <w:r>
        <w:t>Distance To Nearest Transit Stop</w:t>
      </w:r>
    </w:p>
    <w:p>
      <w:pPr>
        <w:pStyle w:val="ListBullet"/>
        <w:spacing w:after="40"/>
        <w:ind w:left="259" w:hanging="173"/>
      </w:pPr>
      <w:r>
        <w:t>Distance to Nearest Park</w:t>
      </w:r>
    </w:p>
    <w:p>
      <w:pPr>
        <w:pStyle w:val="ListBullet"/>
        <w:spacing w:after="40"/>
        <w:ind w:left="259" w:hanging="173"/>
      </w:pPr>
      <w:r>
        <w:t>Distance to Nearest Public School</w:t>
      </w:r>
    </w:p>
    <w:tbl>
      <w:tblPr>
        <w:tblW w:type="auto" w:w="0"/>
        <w:jc w:val="center"/>
        <w:tblLayout w:type="autofit"/>
        <w:tblLook w:firstColumn="1" w:firstRow="1" w:lastColumn="0" w:lastRow="0" w:noHBand="0" w:noVBand="1" w:val="04A0"/>
        <w:tblBorders>
          <w:top w:val="single" w:sz="9" w:color="CC0633"/>
          <w:left w:val="single" w:sz="9" w:color="CC0633"/>
          <w:bottom w:val="single" w:sz="9" w:color="CC0633"/>
          <w:right w:val="single" w:sz="9" w:color="CC0633"/>
          <w:insideH w:val="single" w:sz="9" w:color="CC0633"/>
          <w:insideV w:val="single" w:sz="9" w:color="CC0633"/>
        </w:tblBorders>
      </w:tblPr>
      <w:tblGrid>
        <w:gridCol w:w="10570"/>
      </w:tblGrid>
      <w:tr>
        <w:tc>
          <w:tcPr>
            <w:tcW w:type="dxa" w:w="10570"/>
            <w:shd w:fill="FFF2F5"/>
            <w:tcMar>
              <w:top w:w="85" w:type="dxa"/>
              <w:start w:w="110" w:type="dxa"/>
              <w:bottom w:w="85" w:type="dxa"/>
              <w:end w:w="110" w:type="dxa"/>
            </w:tcMar>
          </w:tcPr>
          <w:p>
            <w:pPr>
              <w:spacing w:after="0"/>
            </w:pPr>
            <w:r>
              <w:t>Leakage rule: Final Assessment, ROI, and Classification are needed for labeling and evaluation but must never be added to FEATURE_COLUMNS.</w:t>
            </w:r>
          </w:p>
        </w:tc>
      </w:tr>
    </w:tbl>
    <w:p>
      <w:pPr>
        <w:pStyle w:val="Heading2"/>
      </w:pPr>
      <w:r>
        <w:t>Data-flow mental model</w:t>
      </w:r>
    </w:p>
    <w:tbl>
      <w:tblPr>
        <w:tblW w:type="auto" w:w="0"/>
        <w:tblLook w:firstColumn="1" w:firstRow="1" w:lastColumn="0" w:lastRow="0" w:noHBand="0" w:noVBand="1" w:val="04A0"/>
      </w:tblPr>
      <w:tblGrid>
        <w:gridCol w:w="2114"/>
        <w:gridCol w:w="2114"/>
        <w:gridCol w:w="2114"/>
        <w:gridCol w:w="2114"/>
        <w:gridCol w:w="2114"/>
      </w:tblGrid>
      <w:tr>
        <w:tc>
          <w:tcPr>
            <w:tcW w:type="dxa" w:w="2114"/>
            <w:shd w:fill="F4F5F6"/>
          </w:tcPr>
          <w:p>
            <w:pPr>
              <w:jc w:val="center"/>
            </w:pPr>
            <w:r>
              <w:rPr>
                <w:b/>
                <w:color w:val="CC0633"/>
              </w:rPr>
              <w:t>Real table</w:t>
              <w:br/>
            </w:r>
            <w:r>
              <w:rPr>
                <w:sz w:val="14"/>
              </w:rPr>
              <w:t>224 labeled projects</w:t>
            </w:r>
          </w:p>
        </w:tc>
        <w:tc>
          <w:tcPr>
            <w:tcW w:type="dxa" w:w="2114"/>
            <w:shd w:fill="F4F5F6"/>
          </w:tcPr>
          <w:p>
            <w:pPr>
              <w:jc w:val="center"/>
            </w:pPr>
            <w:r>
              <w:rPr>
                <w:b/>
                <w:color w:val="CC0633"/>
              </w:rPr>
              <w:t>Stratified split</w:t>
              <w:br/>
            </w:r>
            <w:r>
              <w:rPr>
                <w:sz w:val="14"/>
              </w:rPr>
              <w:t>~179 train / 44–45 test</w:t>
            </w:r>
          </w:p>
        </w:tc>
        <w:tc>
          <w:tcPr>
            <w:tcW w:type="dxa" w:w="2114"/>
            <w:shd w:fill="F4F5F6"/>
          </w:tcPr>
          <w:p>
            <w:pPr>
              <w:jc w:val="center"/>
            </w:pPr>
            <w:r>
              <w:rPr>
                <w:b/>
                <w:color w:val="CC0633"/>
              </w:rPr>
              <w:t>Optional synthesis</w:t>
              <w:br/>
            </w:r>
            <w:r>
              <w:rPr>
                <w:sz w:val="14"/>
              </w:rPr>
              <w:t>Fit generator on train only</w:t>
            </w:r>
          </w:p>
        </w:tc>
        <w:tc>
          <w:tcPr>
            <w:tcW w:type="dxa" w:w="2114"/>
            <w:shd w:fill="F4F5F6"/>
          </w:tcPr>
          <w:p>
            <w:pPr>
              <w:jc w:val="center"/>
            </w:pPr>
            <w:r>
              <w:rPr>
                <w:b/>
                <w:color w:val="CC0633"/>
              </w:rPr>
              <w:t>Fit model</w:t>
              <w:br/>
            </w:r>
            <w:r>
              <w:rPr>
                <w:sz w:val="14"/>
              </w:rPr>
              <w:t>Real or real+synthetic train</w:t>
            </w:r>
          </w:p>
        </w:tc>
        <w:tc>
          <w:tcPr>
            <w:tcW w:type="dxa" w:w="2114"/>
            <w:shd w:fill="F4F5F6"/>
          </w:tcPr>
          <w:p>
            <w:pPr>
              <w:jc w:val="center"/>
            </w:pPr>
            <w:r>
              <w:rPr>
                <w:b/>
                <w:color w:val="CC0633"/>
              </w:rPr>
              <w:t>Score</w:t>
              <w:br/>
            </w:r>
            <w:r>
              <w:rPr>
                <w:sz w:val="14"/>
              </w:rPr>
              <w:t>Held-out real test</w:t>
            </w:r>
          </w:p>
        </w:tc>
      </w:tr>
    </w:tbl>
    <w:p>
      <w:r>
        <w:br w:type="page"/>
      </w:r>
    </w:p>
    <w:p>
      <w:pPr>
        <w:pStyle w:val="Heading1"/>
      </w:pPr>
      <w:r>
        <w:t>2. Run the evaluation and find the outputs</w:t>
      </w:r>
    </w:p>
    <w:p>
      <w:pPr>
        <w:pStyle w:val="Heading2"/>
      </w:pPr>
      <w:r>
        <w:t>1 · Run the fast, recommended comparison</w:t>
      </w:r>
    </w:p>
    <w:p>
      <w:r>
        <w:t>This evaluates the majority baseline and scikit-learn forests using real-only and synthetic training data.</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python -m Model.EvaluateModels \</w:t>
              <w:br/>
              <w:t>+  --models dummy sklearn \</w:t>
              <w:br/>
              <w:t>+  --output-dir Artifacts/FinalRun</w:t>
            </w:r>
          </w:p>
        </w:tc>
      </w:tr>
    </w:tbl>
    <w:p>
      <w:pPr>
        <w:pStyle w:val="Heading2"/>
      </w:pPr>
      <w:r>
        <w:t>2 · Read the terminal summary</w:t>
      </w:r>
    </w:p>
    <w:p>
      <w:r>
        <w:t>A successful run reports dataset size, class balance, fold sizes, and final metrics.</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Loaded 224 real projects ...</w:t>
              <w:br/>
              <w:t>Classes: Low ROI=75, Medium ROI=74, High ROI=75</w:t>
              <w:br/>
              <w:t>scikit RF (real only): accuracy=0.446±0.085, macro-F1=0.444±0.084</w:t>
              <w:br/>
              <w:t>scikit RF (+3000 synthetic): accuracy=0.384±0.048, macro-F1=0.306±0.037</w:t>
            </w:r>
          </w:p>
        </w:tc>
      </w:tr>
    </w:tbl>
    <w:p>
      <w:pPr>
        <w:pStyle w:val="Heading2"/>
      </w:pPr>
      <w:r>
        <w:t>3 · Optionally run the custom forest</w:t>
      </w:r>
    </w:p>
    <w:p>
      <w:r>
        <w:t>The custom implementation is slower. Reduce trees only for debugging, not for comparison with saved evidence.</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python -m Model.EvaluateModels \</w:t>
              <w:br/>
              <w:t>+  --models dummy sklearn custom \</w:t>
              <w:br/>
              <w:t>+  --output-dir Artifacts/FinalRunAll</w:t>
            </w:r>
          </w:p>
        </w:tc>
      </w:tr>
    </w:tbl>
    <w:p>
      <w:pPr>
        <w:pStyle w:val="Heading2"/>
      </w:pPr>
      <w:r>
        <w:t>4 · Inspect the artifact directory</w:t>
      </w:r>
    </w:p>
    <w:p>
      <w:r>
        <w:t>The folder contains one comparison plus per-model summaries, fold metrics, class metrics, and confusion matrices.</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Artifacts/FinalRun/</w:t>
              <w:br/>
              <w:t>├── model_comparison.csv / .png</w:t>
              <w:br/>
              <w:t>├── run_manifest.json</w:t>
              <w:br/>
              <w:t>├── scikit_rf_real_only_metrics.json</w:t>
              <w:br/>
              <w:t>├── scikit_rf_real_only_fold_metrics.csv</w:t>
              <w:br/>
              <w:t>├── scikit_rf_real_only_per_class_metrics.csv</w:t>
              <w:br/>
              <w:t>└── scikit_rf_real_only_confusion_matrix_*.png</w:t>
            </w:r>
          </w:p>
        </w:tc>
      </w:tr>
    </w:tbl>
    <w:tbl>
      <w:tblPr>
        <w:tblW w:type="auto" w:w="0"/>
        <w:jc w:val="center"/>
        <w:tblLayout w:type="autofit"/>
        <w:tblLook w:firstColumn="1" w:firstRow="1" w:lastColumn="0" w:lastRow="0" w:noHBand="0" w:noVBand="1" w:val="04A0"/>
        <w:tblBorders>
          <w:top w:val="single" w:sz="9" w:color="CC0633"/>
          <w:left w:val="single" w:sz="9" w:color="CC0633"/>
          <w:bottom w:val="single" w:sz="9" w:color="CC0633"/>
          <w:right w:val="single" w:sz="9" w:color="CC0633"/>
          <w:insideH w:val="single" w:sz="9" w:color="CC0633"/>
          <w:insideV w:val="single" w:sz="9" w:color="CC0633"/>
        </w:tblBorders>
      </w:tblPr>
      <w:tblGrid>
        <w:gridCol w:w="10570"/>
      </w:tblGrid>
      <w:tr>
        <w:tc>
          <w:tcPr>
            <w:tcW w:type="dxa" w:w="10570"/>
            <w:shd w:fill="FFF2F5"/>
            <w:tcMar>
              <w:top w:w="85" w:type="dxa"/>
              <w:start w:w="110" w:type="dxa"/>
              <w:bottom w:w="85" w:type="dxa"/>
              <w:end w:w="110" w:type="dxa"/>
            </w:tcMar>
          </w:tcPr>
          <w:p>
            <w:pPr>
              <w:spacing w:after="0"/>
            </w:pPr>
            <w:r>
              <w:t>Reproducibility check: run the same command twice with seed 310 in two new directories and compare metric CSV/JSON files. Timestamps and absolute manifest paths can differ; numeric evidence should match.</w:t>
            </w:r>
          </w:p>
        </w:tc>
      </w:tr>
    </w:tbl>
    <w:p>
      <w:pPr>
        <w:pStyle w:val="Heading2"/>
      </w:pPr>
      <w:r>
        <w:t>Useful command-line variations</w:t>
      </w:r>
    </w:p>
    <w:p>
      <w:r>
        <w:t>Use --data for another compatible table, --seed 310 for the deterministic seed, and --synthetic-samples to compare augmentation sizes. Always pair each configuration with a distinct --output-dir.</w:t>
      </w:r>
    </w:p>
    <w:p>
      <w:r>
        <w:br w:type="page"/>
      </w:r>
    </w:p>
    <w:p>
      <w:pPr>
        <w:pStyle w:val="Heading1"/>
      </w:pPr>
      <w:r>
        <w:t>3. Interpret the visual evidence</w:t>
      </w:r>
    </w:p>
    <w:tbl>
      <w:tblPr>
        <w:tblW w:type="auto" w:w="0"/>
        <w:jc w:val="center"/>
        <w:tblLayout w:type="autofit"/>
        <w:tblLook w:firstColumn="1" w:firstRow="1" w:lastColumn="0" w:lastRow="0" w:noHBand="0" w:noVBand="1" w:val="04A0"/>
      </w:tblPr>
      <w:tblGrid>
        <w:gridCol w:w="5285"/>
        <w:gridCol w:w="5285"/>
      </w:tblGrid>
      <w:tr>
        <w:tc>
          <w:tcPr>
            <w:tcW w:type="dxa" w:w="5285"/>
            <w:tcMar>
              <w:top w:w="20" w:type="dxa"/>
              <w:start w:w="40" w:type="dxa"/>
              <w:bottom w:w="20" w:type="dxa"/>
              <w:end w:w="40" w:type="dxa"/>
            </w:tcMar>
          </w:tcPr>
          <w:p>
            <w:pPr>
              <w:jc w:val="center"/>
            </w:pPr>
            <w:r>
              <w:drawing>
                <wp:inline xmlns:a="http://schemas.openxmlformats.org/drawingml/2006/main" xmlns:pic="http://schemas.openxmlformats.org/drawingml/2006/picture">
                  <wp:extent cx="3429000" cy="1580109"/>
                  <wp:docPr id="1" name="Picture 1"/>
                  <wp:cNvGraphicFramePr>
                    <a:graphicFrameLocks noChangeAspect="1"/>
                  </wp:cNvGraphicFramePr>
                  <a:graphic>
                    <a:graphicData uri="http://schemas.openxmlformats.org/drawingml/2006/picture">
                      <pic:pic>
                        <pic:nvPicPr>
                          <pic:cNvPr id="0" name="howto-1.png"/>
                          <pic:cNvPicPr/>
                        </pic:nvPicPr>
                        <pic:blipFill>
                          <a:blip r:embed="rId10"/>
                          <a:stretch>
                            <a:fillRect/>
                          </a:stretch>
                        </pic:blipFill>
                        <pic:spPr>
                          <a:xfrm>
                            <a:off x="0" y="0"/>
                            <a:ext cx="3429000" cy="1580109"/>
                          </a:xfrm>
                          <a:prstGeom prst="rect"/>
                        </pic:spPr>
                      </pic:pic>
                    </a:graphicData>
                  </a:graphic>
                </wp:inline>
              </w:drawing>
            </w:r>
          </w:p>
          <w:p>
            <w:pPr>
              <w:jc w:val="center"/>
            </w:pPr>
            <w:r>
              <w:rPr>
                <w:i/>
                <w:color w:val="555555"/>
                <w:sz w:val="14"/>
              </w:rPr>
              <w:t>Figure 1. Fold means and standard deviations on real held-out projects.</w:t>
            </w:r>
          </w:p>
        </w:tc>
        <w:tc>
          <w:tcPr>
            <w:tcW w:type="dxa" w:w="5285"/>
            <w:tcMar>
              <w:top w:w="20" w:type="dxa"/>
              <w:start w:w="40" w:type="dxa"/>
              <w:bottom w:w="20" w:type="dxa"/>
              <w:end w:w="40" w:type="dxa"/>
            </w:tcMar>
          </w:tcPr>
          <w:p>
            <w:pPr>
              <w:jc w:val="center"/>
            </w:pPr>
            <w:r>
              <w:drawing>
                <wp:inline xmlns:a="http://schemas.openxmlformats.org/drawingml/2006/main" xmlns:pic="http://schemas.openxmlformats.org/drawingml/2006/picture">
                  <wp:extent cx="2194560" cy="2012026"/>
                  <wp:docPr id="2" name="Picture 2"/>
                  <wp:cNvGraphicFramePr>
                    <a:graphicFrameLocks noChangeAspect="1"/>
                  </wp:cNvGraphicFramePr>
                  <a:graphic>
                    <a:graphicData uri="http://schemas.openxmlformats.org/drawingml/2006/picture">
                      <pic:pic>
                        <pic:nvPicPr>
                          <pic:cNvPr id="0" name="howto-2.png"/>
                          <pic:cNvPicPr/>
                        </pic:nvPicPr>
                        <pic:blipFill>
                          <a:blip r:embed="rId11"/>
                          <a:stretch>
                            <a:fillRect/>
                          </a:stretch>
                        </pic:blipFill>
                        <pic:spPr>
                          <a:xfrm>
                            <a:off x="0" y="0"/>
                            <a:ext cx="2194560" cy="2012026"/>
                          </a:xfrm>
                          <a:prstGeom prst="rect"/>
                        </pic:spPr>
                      </pic:pic>
                    </a:graphicData>
                  </a:graphic>
                </wp:inline>
              </w:drawing>
            </w:r>
          </w:p>
          <w:p>
            <w:pPr>
              <w:jc w:val="center"/>
            </w:pPr>
            <w:r>
              <w:rPr>
                <w:i/>
                <w:color w:val="555555"/>
                <w:sz w:val="14"/>
              </w:rPr>
              <w:t>Figure 2. Each row sums to 100%; the diagonal is class recall.</w:t>
            </w:r>
          </w:p>
        </w:tc>
      </w:tr>
    </w:tbl>
    <w:p>
      <w:pPr>
        <w:pStyle w:val="Heading2"/>
      </w:pPr>
      <w:r>
        <w:t>Read the comparison chart</w:t>
      </w:r>
    </w:p>
    <w:p>
      <w:pPr>
        <w:pStyle w:val="ListBullet"/>
        <w:spacing w:after="40"/>
        <w:ind w:left="259" w:hanging="173"/>
      </w:pPr>
      <w:r>
        <w:t>Start with the baseline: 33.5% accuracy but 16.7% macro-F1. Predicting one class fails the other two.</w:t>
      </w:r>
    </w:p>
    <w:p>
      <w:pPr>
        <w:pStyle w:val="ListBullet"/>
        <w:spacing w:after="40"/>
        <w:ind w:left="259" w:hanging="173"/>
      </w:pPr>
      <w:r>
        <w:t>The real-only scikit-learn forest is highest at 44.6% accuracy and 44.4% macro-F1.</w:t>
      </w:r>
    </w:p>
    <w:p>
      <w:pPr>
        <w:pStyle w:val="ListBullet"/>
        <w:spacing w:after="40"/>
        <w:ind w:left="259" w:hanging="173"/>
      </w:pPr>
      <w:r>
        <w:t>The selected model varies by about 8.5 percentage points across folds; this is not a deployment guarantee.</w:t>
      </w:r>
    </w:p>
    <w:p>
      <w:pPr>
        <w:pStyle w:val="ListBullet"/>
        <w:spacing w:after="40"/>
        <w:ind w:left="259" w:hanging="173"/>
      </w:pPr>
      <w:r>
        <w:t>Both synthetic variants decline, so augmentation is a negative result.</w:t>
      </w:r>
    </w:p>
    <w:p>
      <w:pPr>
        <w:pStyle w:val="Heading2"/>
      </w:pPr>
      <w:r>
        <w:t>Read the normalized confusion matrix</w:t>
      </w:r>
    </w:p>
    <w:p>
      <w:r>
        <w:t>Rows are actual classes and columns are predicted classes. Diagonal recall is 48.0% Low, 44.6% Medium, and 41.3% High. The top-right and bottom-left cells are severe two-level errors: 44 cases, or 19.6% of the dataset.</w:t>
      </w:r>
    </w:p>
    <w:tbl>
      <w:tblPr>
        <w:tblW w:type="auto" w:w="0"/>
        <w:tblLook w:firstColumn="1" w:firstRow="1" w:lastColumn="0" w:lastRow="0" w:noHBand="0" w:noVBand="1" w:val="04A0"/>
      </w:tblPr>
      <w:tblGrid>
        <w:gridCol w:w="5285"/>
        <w:gridCol w:w="5285"/>
      </w:tblGrid>
      <w:tr>
        <w:tc>
          <w:tcPr>
            <w:tcW w:type="dxa" w:w="5285"/>
            <w:shd w:fill="E7F1F7"/>
          </w:tcPr>
          <w:p>
            <w:r>
              <w:rPr>
                <w:b/>
              </w:rPr>
              <w:t>Macro-F1</w:t>
              <w:br/>
            </w:r>
            <w:r>
              <w:t>Averages class-specific F1 without support weighting. It exposes failure to predict a class.</w:t>
            </w:r>
          </w:p>
        </w:tc>
        <w:tc>
          <w:tcPr>
            <w:tcW w:type="dxa" w:w="5285"/>
            <w:shd w:fill="E7F1F7"/>
          </w:tcPr>
          <w:p>
            <w:r>
              <w:rPr>
                <w:b/>
              </w:rPr>
              <w:t>Ordinal MAE</w:t>
              <w:br/>
            </w:r>
            <w:r>
              <w:t>A one-level miss costs 1 and Low↔High costs 2. Lower is better; selected model 0.750 versus baseline 1.000.</w:t>
            </w:r>
          </w:p>
        </w:tc>
      </w:tr>
    </w:tbl>
    <w:p>
      <w:pPr>
        <w:pStyle w:val="Heading2"/>
      </w:pPr>
      <w:r>
        <w:t>Understand the fold-local code</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for train_indices, test_indices in splitter.split(real_data, y_all):</w:t>
              <w:br/>
              <w:t xml:space="preserve">    train_real = real_data.iloc[train_indices]</w:t>
              <w:br/>
              <w:t xml:space="preserve">    test_real = real_data.iloc[test_indices]</w:t>
              <w:br/>
              <w:t xml:space="preserve">    synth_data = generate(train_real, n=synthetic_samples)</w:t>
              <w:br/>
              <w:t xml:space="preserve">    training_data = concat(train_real, synth_data)</w:t>
              <w:br/>
              <w:t xml:space="preserve">    model.fit(training_data[features], training_data[target])</w:t>
              <w:br/>
              <w:t xml:space="preserve">    predictions = model.predict(test_real[features])  # real only</w:t>
            </w:r>
          </w:p>
        </w:tc>
      </w:tr>
    </w:tbl>
    <w:tbl>
      <w:tblPr>
        <w:tblW w:type="auto" w:w="0"/>
        <w:jc w:val="center"/>
        <w:tblLayout w:type="autofit"/>
        <w:tblLook w:firstColumn="1" w:firstRow="1" w:lastColumn="0" w:lastRow="0" w:noHBand="0" w:noVBand="1" w:val="04A0"/>
        <w:tblBorders>
          <w:top w:val="single" w:sz="9" w:color="D99B1B"/>
          <w:left w:val="single" w:sz="9" w:color="D99B1B"/>
          <w:bottom w:val="single" w:sz="9" w:color="D99B1B"/>
          <w:right w:val="single" w:sz="9" w:color="D99B1B"/>
          <w:insideH w:val="single" w:sz="9" w:color="D99B1B"/>
          <w:insideV w:val="single" w:sz="9" w:color="D99B1B"/>
        </w:tblBorders>
      </w:tblPr>
      <w:tblGrid>
        <w:gridCol w:w="10570"/>
      </w:tblGrid>
      <w:tr>
        <w:tc>
          <w:tcPr>
            <w:tcW w:type="dxa" w:w="10570"/>
            <w:shd w:fill="FFF8E6"/>
            <w:tcMar>
              <w:top w:w="85" w:type="dxa"/>
              <w:start w:w="110" w:type="dxa"/>
              <w:bottom w:w="85" w:type="dxa"/>
              <w:end w:w="110" w:type="dxa"/>
            </w:tcMar>
          </w:tcPr>
          <w:p>
            <w:pPr>
              <w:spacing w:after="0"/>
            </w:pPr>
            <w:r>
              <w:t>Do not overclaim: 85.0% mean training accuracy versus 44.6% test accuracy is a large overfit signal. Report modest evidence above baseline, not an accurate investment predictor.</w:t>
            </w:r>
          </w:p>
        </w:tc>
      </w:tr>
    </w:tbl>
    <w:p>
      <w:r>
        <w:br w:type="page"/>
      </w:r>
    </w:p>
    <w:p>
      <w:pPr>
        <w:pStyle w:val="Heading1"/>
      </w:pPr>
      <w:r>
        <w:t>4. Troubleshooting, code samples, and reuse</w:t>
      </w:r>
    </w:p>
    <w:tbl>
      <w:tblPr>
        <w:tblW w:type="auto" w:w="0"/>
        <w:jc w:val="center"/>
        <w:tblLayout w:type="autofit"/>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3523"/>
        <w:gridCol w:w="3523"/>
        <w:gridCol w:w="3523"/>
      </w:tblGrid>
      <w:tr>
        <w:trPr>
          <w:tblHeader w:val="true"/>
        </w:trPr>
        <w:tc>
          <w:tcPr>
            <w:tcW w:type="dxa" w:w="3523"/>
            <w:shd w:fill="343A40"/>
            <w:tcMar>
              <w:top w:w="60" w:type="dxa"/>
              <w:start w:w="70" w:type="dxa"/>
              <w:bottom w:w="60" w:type="dxa"/>
              <w:end w:w="70" w:type="dxa"/>
            </w:tcMar>
          </w:tcPr>
          <w:p>
            <w:pPr>
              <w:spacing w:after="0"/>
            </w:pPr>
            <w:r>
              <w:rPr>
                <w:b/>
                <w:color w:val="FFFFFF"/>
                <w:sz w:val="14"/>
              </w:rPr>
              <w:t>Symptom</w:t>
            </w:r>
          </w:p>
        </w:tc>
        <w:tc>
          <w:tcPr>
            <w:tcW w:type="dxa" w:w="3523"/>
            <w:shd w:fill="343A40"/>
            <w:tcMar>
              <w:top w:w="60" w:type="dxa"/>
              <w:start w:w="70" w:type="dxa"/>
              <w:bottom w:w="60" w:type="dxa"/>
              <w:end w:w="70" w:type="dxa"/>
            </w:tcMar>
          </w:tcPr>
          <w:p>
            <w:pPr>
              <w:spacing w:after="0"/>
            </w:pPr>
            <w:r>
              <w:rPr>
                <w:b/>
                <w:color w:val="FFFFFF"/>
                <w:sz w:val="14"/>
              </w:rPr>
              <w:t>Likely cause</w:t>
            </w:r>
          </w:p>
        </w:tc>
        <w:tc>
          <w:tcPr>
            <w:tcW w:type="dxa" w:w="3523"/>
            <w:shd w:fill="343A40"/>
            <w:tcMar>
              <w:top w:w="60" w:type="dxa"/>
              <w:start w:w="70" w:type="dxa"/>
              <w:bottom w:w="60" w:type="dxa"/>
              <w:end w:w="70" w:type="dxa"/>
            </w:tcMar>
          </w:tcPr>
          <w:p>
            <w:pPr>
              <w:spacing w:after="0"/>
            </w:pPr>
            <w:r>
              <w:rPr>
                <w:b/>
                <w:color w:val="FFFFFF"/>
                <w:sz w:val="14"/>
              </w:rPr>
              <w:t>Fix</w:t>
            </w:r>
          </w:p>
        </w:tc>
      </w:tr>
      <w:tr>
        <w:tc>
          <w:tcPr>
            <w:tcW w:type="dxa" w:w="3523"/>
            <w:vAlign w:val="top"/>
            <w:tcMar>
              <w:top w:w="60" w:type="dxa"/>
              <w:start w:w="70" w:type="dxa"/>
              <w:bottom w:w="60" w:type="dxa"/>
              <w:end w:w="70" w:type="dxa"/>
            </w:tcMar>
          </w:tcPr>
          <w:p>
            <w:pPr>
              <w:spacing w:after="0"/>
            </w:pPr>
            <w:r>
              <w:rPr>
                <w:sz w:val="14"/>
              </w:rPr>
              <w:t>ModuleNotFoundError: Model</w:t>
            </w:r>
          </w:p>
        </w:tc>
        <w:tc>
          <w:tcPr>
            <w:tcW w:type="dxa" w:w="3523"/>
            <w:vAlign w:val="top"/>
            <w:tcMar>
              <w:top w:w="60" w:type="dxa"/>
              <w:start w:w="70" w:type="dxa"/>
              <w:bottom w:w="60" w:type="dxa"/>
              <w:end w:w="70" w:type="dxa"/>
            </w:tcMar>
          </w:tcPr>
          <w:p>
            <w:pPr>
              <w:spacing w:after="0"/>
            </w:pPr>
            <w:r>
              <w:rPr>
                <w:sz w:val="14"/>
              </w:rPr>
              <w:t>Command started inside Model/ or as a file path.</w:t>
            </w:r>
          </w:p>
        </w:tc>
        <w:tc>
          <w:tcPr>
            <w:tcW w:type="dxa" w:w="3523"/>
            <w:vAlign w:val="top"/>
            <w:tcMar>
              <w:top w:w="60" w:type="dxa"/>
              <w:start w:w="70" w:type="dxa"/>
              <w:bottom w:w="60" w:type="dxa"/>
              <w:end w:w="70" w:type="dxa"/>
            </w:tcMar>
          </w:tcPr>
          <w:p>
            <w:pPr>
              <w:spacing w:after="0"/>
            </w:pPr>
            <w:r>
              <w:rPr>
                <w:sz w:val="14"/>
              </w:rPr>
              <w:t>Return to repository root and run python -m Model.EvaluateModels.</w:t>
            </w:r>
          </w:p>
        </w:tc>
      </w:tr>
      <w:tr>
        <w:tc>
          <w:tcPr>
            <w:tcW w:type="dxa" w:w="3523"/>
            <w:shd w:fill="F4F5F6"/>
            <w:vAlign w:val="top"/>
            <w:tcMar>
              <w:top w:w="60" w:type="dxa"/>
              <w:start w:w="70" w:type="dxa"/>
              <w:bottom w:w="60" w:type="dxa"/>
              <w:end w:w="70" w:type="dxa"/>
            </w:tcMar>
          </w:tcPr>
          <w:p>
            <w:pPr>
              <w:spacing w:after="0"/>
            </w:pPr>
            <w:r>
              <w:rPr>
                <w:sz w:val="14"/>
              </w:rPr>
              <w:t>NumPy/pandas/sklearn/Matplotlib missing</w:t>
            </w:r>
          </w:p>
        </w:tc>
        <w:tc>
          <w:tcPr>
            <w:tcW w:type="dxa" w:w="3523"/>
            <w:shd w:fill="F4F5F6"/>
            <w:vAlign w:val="top"/>
            <w:tcMar>
              <w:top w:w="60" w:type="dxa"/>
              <w:start w:w="70" w:type="dxa"/>
              <w:bottom w:w="60" w:type="dxa"/>
              <w:end w:w="70" w:type="dxa"/>
            </w:tcMar>
          </w:tcPr>
          <w:p>
            <w:pPr>
              <w:spacing w:after="0"/>
            </w:pPr>
            <w:r>
              <w:rPr>
                <w:sz w:val="14"/>
              </w:rPr>
              <w:t>Wrong or inactive environment.</w:t>
            </w:r>
          </w:p>
        </w:tc>
        <w:tc>
          <w:tcPr>
            <w:tcW w:type="dxa" w:w="3523"/>
            <w:shd w:fill="F4F5F6"/>
            <w:vAlign w:val="top"/>
            <w:tcMar>
              <w:top w:w="60" w:type="dxa"/>
              <w:start w:w="70" w:type="dxa"/>
              <w:bottom w:w="60" w:type="dxa"/>
              <w:end w:w="70" w:type="dxa"/>
            </w:tcMar>
          </w:tcPr>
          <w:p>
            <w:pPr>
              <w:spacing w:after="0"/>
            </w:pPr>
            <w:r>
              <w:rPr>
                <w:sz w:val="14"/>
              </w:rPr>
              <w:t>Activate .venv and reinstall requirements.txt.</w:t>
            </w:r>
          </w:p>
        </w:tc>
      </w:tr>
      <w:tr>
        <w:tc>
          <w:tcPr>
            <w:tcW w:type="dxa" w:w="3523"/>
            <w:vAlign w:val="top"/>
            <w:tcMar>
              <w:top w:w="60" w:type="dxa"/>
              <w:start w:w="70" w:type="dxa"/>
              <w:bottom w:w="60" w:type="dxa"/>
              <w:end w:w="70" w:type="dxa"/>
            </w:tcMar>
          </w:tcPr>
          <w:p>
            <w:pPr>
              <w:spacing w:after="0"/>
            </w:pPr>
            <w:r>
              <w:rPr>
                <w:sz w:val="14"/>
              </w:rPr>
              <w:t>Dataset is missing columns</w:t>
            </w:r>
          </w:p>
        </w:tc>
        <w:tc>
          <w:tcPr>
            <w:tcW w:type="dxa" w:w="3523"/>
            <w:vAlign w:val="top"/>
            <w:tcMar>
              <w:top w:w="60" w:type="dxa"/>
              <w:start w:w="70" w:type="dxa"/>
              <w:bottom w:w="60" w:type="dxa"/>
              <w:end w:w="70" w:type="dxa"/>
            </w:tcMar>
          </w:tcPr>
          <w:p>
            <w:pPr>
              <w:spacing w:after="0"/>
            </w:pPr>
            <w:r>
              <w:rPr>
                <w:sz w:val="14"/>
              </w:rPr>
              <w:t>Headers changed or an intermediate CSV was supplied.</w:t>
            </w:r>
          </w:p>
        </w:tc>
        <w:tc>
          <w:tcPr>
            <w:tcW w:type="dxa" w:w="3523"/>
            <w:vAlign w:val="top"/>
            <w:tcMar>
              <w:top w:w="60" w:type="dxa"/>
              <w:start w:w="70" w:type="dxa"/>
              <w:bottom w:w="60" w:type="dxa"/>
              <w:end w:w="70" w:type="dxa"/>
            </w:tcMar>
          </w:tcPr>
          <w:p>
            <w:pPr>
              <w:spacing w:after="0"/>
            </w:pPr>
            <w:r>
              <w:rPr>
                <w:sz w:val="14"/>
              </w:rPr>
              <w:t>Use the final CSV and preserve exact headers.</w:t>
            </w:r>
          </w:p>
        </w:tc>
      </w:tr>
      <w:tr>
        <w:tc>
          <w:tcPr>
            <w:tcW w:type="dxa" w:w="3523"/>
            <w:shd w:fill="F4F5F6"/>
            <w:vAlign w:val="top"/>
            <w:tcMar>
              <w:top w:w="60" w:type="dxa"/>
              <w:start w:w="70" w:type="dxa"/>
              <w:bottom w:w="60" w:type="dxa"/>
              <w:end w:w="70" w:type="dxa"/>
            </w:tcMar>
          </w:tcPr>
          <w:p>
            <w:pPr>
              <w:spacing w:after="0"/>
            </w:pPr>
            <w:r>
              <w:rPr>
                <w:sz w:val="14"/>
              </w:rPr>
              <w:t>Modeling columns contain missing values</w:t>
            </w:r>
          </w:p>
        </w:tc>
        <w:tc>
          <w:tcPr>
            <w:tcW w:type="dxa" w:w="3523"/>
            <w:shd w:fill="F4F5F6"/>
            <w:vAlign w:val="top"/>
            <w:tcMar>
              <w:top w:w="60" w:type="dxa"/>
              <w:start w:w="70" w:type="dxa"/>
              <w:bottom w:w="60" w:type="dxa"/>
              <w:end w:w="70" w:type="dxa"/>
            </w:tcMar>
          </w:tcPr>
          <w:p>
            <w:pPr>
              <w:spacing w:after="0"/>
            </w:pPr>
            <w:r>
              <w:rPr>
                <w:sz w:val="14"/>
              </w:rPr>
              <w:t>Input merge left unmatched values.</w:t>
            </w:r>
          </w:p>
        </w:tc>
        <w:tc>
          <w:tcPr>
            <w:tcW w:type="dxa" w:w="3523"/>
            <w:shd w:fill="F4F5F6"/>
            <w:vAlign w:val="top"/>
            <w:tcMar>
              <w:top w:w="60" w:type="dxa"/>
              <w:start w:w="70" w:type="dxa"/>
              <w:bottom w:w="60" w:type="dxa"/>
              <w:end w:w="70" w:type="dxa"/>
            </w:tcMar>
          </w:tcPr>
          <w:p>
            <w:pPr>
              <w:spacing w:after="0"/>
            </w:pPr>
            <w:r>
              <w:rPr>
                <w:sz w:val="14"/>
              </w:rPr>
              <w:t>Audit the join/imputation; do not silently drop rows after seeing results.</w:t>
            </w:r>
          </w:p>
        </w:tc>
      </w:tr>
      <w:tr>
        <w:tc>
          <w:tcPr>
            <w:tcW w:type="dxa" w:w="3523"/>
            <w:vAlign w:val="top"/>
            <w:tcMar>
              <w:top w:w="60" w:type="dxa"/>
              <w:start w:w="70" w:type="dxa"/>
              <w:bottom w:w="60" w:type="dxa"/>
              <w:end w:w="70" w:type="dxa"/>
            </w:tcMar>
          </w:tcPr>
          <w:p>
            <w:pPr>
              <w:spacing w:after="0"/>
            </w:pPr>
            <w:r>
              <w:rPr>
                <w:sz w:val="14"/>
              </w:rPr>
              <w:t>Custom run takes much longer</w:t>
            </w:r>
          </w:p>
        </w:tc>
        <w:tc>
          <w:tcPr>
            <w:tcW w:type="dxa" w:w="3523"/>
            <w:vAlign w:val="top"/>
            <w:tcMar>
              <w:top w:w="60" w:type="dxa"/>
              <w:start w:w="70" w:type="dxa"/>
              <w:bottom w:w="60" w:type="dxa"/>
              <w:end w:w="70" w:type="dxa"/>
            </w:tcMar>
          </w:tcPr>
          <w:p>
            <w:pPr>
              <w:spacing w:after="0"/>
            </w:pPr>
            <w:r>
              <w:rPr>
                <w:sz w:val="14"/>
              </w:rPr>
              <w:t>Pure-Python tree search across folds.</w:t>
            </w:r>
          </w:p>
        </w:tc>
        <w:tc>
          <w:tcPr>
            <w:tcW w:type="dxa" w:w="3523"/>
            <w:vAlign w:val="top"/>
            <w:tcMar>
              <w:top w:w="60" w:type="dxa"/>
              <w:start w:w="70" w:type="dxa"/>
              <w:bottom w:w="60" w:type="dxa"/>
              <w:end w:w="70" w:type="dxa"/>
            </w:tcMar>
          </w:tcPr>
          <w:p>
            <w:pPr>
              <w:spacing w:after="0"/>
            </w:pPr>
            <w:r>
              <w:rPr>
                <w:sz w:val="14"/>
              </w:rPr>
              <w:t>Omit custom for a smoke test or reduce trees only while debugging.</w:t>
            </w:r>
          </w:p>
        </w:tc>
      </w:tr>
      <w:tr>
        <w:tc>
          <w:tcPr>
            <w:tcW w:type="dxa" w:w="3523"/>
            <w:shd w:fill="F4F5F6"/>
            <w:vAlign w:val="top"/>
            <w:tcMar>
              <w:top w:w="60" w:type="dxa"/>
              <w:start w:w="70" w:type="dxa"/>
              <w:bottom w:w="60" w:type="dxa"/>
              <w:end w:w="70" w:type="dxa"/>
            </w:tcMar>
          </w:tcPr>
          <w:p>
            <w:pPr>
              <w:spacing w:after="0"/>
            </w:pPr>
            <w:r>
              <w:rPr>
                <w:sz w:val="14"/>
              </w:rPr>
              <w:t>Old and new values appear together</w:t>
            </w:r>
          </w:p>
        </w:tc>
        <w:tc>
          <w:tcPr>
            <w:tcW w:type="dxa" w:w="3523"/>
            <w:shd w:fill="F4F5F6"/>
            <w:vAlign w:val="top"/>
            <w:tcMar>
              <w:top w:w="60" w:type="dxa"/>
              <w:start w:w="70" w:type="dxa"/>
              <w:bottom w:w="60" w:type="dxa"/>
              <w:end w:w="70" w:type="dxa"/>
            </w:tcMar>
          </w:tcPr>
          <w:p>
            <w:pPr>
              <w:spacing w:after="0"/>
            </w:pPr>
            <w:r>
              <w:rPr>
                <w:sz w:val="14"/>
              </w:rPr>
              <w:t>An output directory was reused.</w:t>
            </w:r>
          </w:p>
        </w:tc>
        <w:tc>
          <w:tcPr>
            <w:tcW w:type="dxa" w:w="3523"/>
            <w:shd w:fill="F4F5F6"/>
            <w:vAlign w:val="top"/>
            <w:tcMar>
              <w:top w:w="60" w:type="dxa"/>
              <w:start w:w="70" w:type="dxa"/>
              <w:bottom w:w="60" w:type="dxa"/>
              <w:end w:w="70" w:type="dxa"/>
            </w:tcMar>
          </w:tcPr>
          <w:p>
            <w:pPr>
              <w:spacing w:after="0"/>
            </w:pPr>
            <w:r>
              <w:rPr>
                <w:sz w:val="14"/>
              </w:rPr>
              <w:t>Use a new empty output directory for each run.</w:t>
            </w:r>
          </w:p>
        </w:tc>
      </w:tr>
      <w:tr>
        <w:tc>
          <w:tcPr>
            <w:tcW w:type="dxa" w:w="3523"/>
            <w:vAlign w:val="top"/>
            <w:tcMar>
              <w:top w:w="60" w:type="dxa"/>
              <w:start w:w="70" w:type="dxa"/>
              <w:bottom w:w="60" w:type="dxa"/>
              <w:end w:w="70" w:type="dxa"/>
            </w:tcMar>
          </w:tcPr>
          <w:p>
            <w:pPr>
              <w:spacing w:after="0"/>
            </w:pPr>
            <w:r>
              <w:rPr>
                <w:sz w:val="14"/>
              </w:rPr>
              <w:t>Legacy preprocessing import fails</w:t>
            </w:r>
          </w:p>
        </w:tc>
        <w:tc>
          <w:tcPr>
            <w:tcW w:type="dxa" w:w="3523"/>
            <w:vAlign w:val="top"/>
            <w:tcMar>
              <w:top w:w="60" w:type="dxa"/>
              <w:start w:w="70" w:type="dxa"/>
              <w:bottom w:w="60" w:type="dxa"/>
              <w:end w:w="70" w:type="dxa"/>
            </w:tcMar>
          </w:tcPr>
          <w:p>
            <w:pPr>
              <w:spacing w:after="0"/>
            </w:pPr>
            <w:r>
              <w:rPr>
                <w:sz w:val="14"/>
              </w:rPr>
              <w:t>Missing upstream data, haversine, or local coordinate module.</w:t>
            </w:r>
          </w:p>
        </w:tc>
        <w:tc>
          <w:tcPr>
            <w:tcW w:type="dxa" w:w="3523"/>
            <w:vAlign w:val="top"/>
            <w:tcMar>
              <w:top w:w="60" w:type="dxa"/>
              <w:start w:w="70" w:type="dxa"/>
              <w:bottom w:w="60" w:type="dxa"/>
              <w:end w:w="70" w:type="dxa"/>
            </w:tcMar>
          </w:tcPr>
          <w:p>
            <w:pPr>
              <w:spacing w:after="0"/>
            </w:pPr>
            <w:r>
              <w:rPr>
                <w:sz w:val="14"/>
              </w:rPr>
              <w:t>Use the canonical final CSV until legacy inputs are repaired/documented.</w:t>
            </w:r>
          </w:p>
        </w:tc>
      </w:tr>
    </w:tbl>
    <w:p>
      <w:pPr>
        <w:pStyle w:val="Heading2"/>
      </w:pPr>
      <w:r>
        <w:t>Minimal metrics code sample</w:t>
      </w:r>
    </w:p>
    <w:tbl>
      <w:tblPr>
        <w:tblW w:type="auto" w:w="0"/>
        <w:tblLook w:firstColumn="1" w:firstRow="1" w:lastColumn="0" w:lastRow="0" w:noHBand="0" w:noVBand="1" w:val="04A0"/>
        <w:tblBorders>
          <w:top w:val="single" w:sz="6" w:color="C9CDD1"/>
          <w:left w:val="single" w:sz="6" w:color="C9CDD1"/>
          <w:bottom w:val="single" w:sz="6" w:color="C9CDD1"/>
          <w:right w:val="single" w:sz="6" w:color="C9CDD1"/>
          <w:insideH w:val="single" w:sz="6" w:color="C9CDD1"/>
          <w:insideV w:val="single" w:sz="6" w:color="C9CDD1"/>
        </w:tblBorders>
      </w:tblPr>
      <w:tblGrid>
        <w:gridCol w:w="10570"/>
      </w:tblGrid>
      <w:tr>
        <w:tc>
          <w:tcPr>
            <w:tcW w:type="dxa" w:w="10570"/>
            <w:shd w:fill="F4F5F6"/>
            <w:tcMar>
              <w:top w:w="65" w:type="dxa"/>
              <w:start w:w="90" w:type="dxa"/>
              <w:bottom w:w="65" w:type="dxa"/>
              <w:end w:w="90" w:type="dxa"/>
            </w:tcMar>
          </w:tcPr>
          <w:p>
            <w:pPr>
              <w:spacing w:after="0"/>
            </w:pPr>
            <w:r>
              <w:rPr>
                <w:rFonts w:ascii="Courier New" w:hAnsi="Courier New"/>
                <w:sz w:val="15"/>
              </w:rPr>
              <w:t>from sklearn.metrics import accuracy_score, f1_score</w:t>
              <w:br/>
              <w:br/>
              <w:t>accuracy = accuracy_score(y_true, y_pred)</w:t>
              <w:br/>
              <w:t>macro_f1 = f1_score(</w:t>
              <w:br/>
              <w:t xml:space="preserve">    y_true, y_pred, labels=[0, 1, 2],</w:t>
              <w:br/>
              <w:t xml:space="preserve">    average='macro', zero_division=0,</w:t>
              <w:br/>
              <w:t>)</w:t>
              <w:br/>
              <w:t>ordinal_mae = abs(y_pred - y_true).mean()</w:t>
            </w:r>
          </w:p>
        </w:tc>
      </w:tr>
    </w:tbl>
    <w:p>
      <w:pPr>
        <w:pStyle w:val="Heading2"/>
      </w:pPr>
      <w:r>
        <w:t>Final evidence checklist</w:t>
      </w:r>
    </w:p>
    <w:p>
      <w:pPr>
        <w:pStyle w:val="ListBullet"/>
        <w:spacing w:after="40"/>
        <w:ind w:left="259" w:hanging="173"/>
      </w:pPr>
      <w:r>
        <w:t>Save the exact command, dataset hash, seed, versions, fold metrics, and confusion matrices.</w:t>
      </w:r>
    </w:p>
    <w:p>
      <w:pPr>
        <w:pStyle w:val="ListBullet"/>
        <w:spacing w:after="40"/>
        <w:ind w:left="259" w:hanging="173"/>
      </w:pPr>
      <w:r>
        <w:t>Keep held-out evidence real; label synthetic rows as training-only.</w:t>
      </w:r>
    </w:p>
    <w:p>
      <w:pPr>
        <w:pStyle w:val="ListBullet"/>
        <w:spacing w:after="40"/>
        <w:ind w:left="259" w:hanging="173"/>
      </w:pPr>
      <w:r>
        <w:t>Report the baseline, variance, per-class behavior, generalization gap, and severe errors.</w:t>
      </w:r>
    </w:p>
    <w:p>
      <w:pPr>
        <w:pStyle w:val="ListBullet"/>
        <w:spacing w:after="40"/>
        <w:ind w:left="259" w:hanging="173"/>
      </w:pPr>
      <w:r>
        <w:t>Do not expose project addresses, applicant names, email, or SFU student numbers.</w:t>
      </w:r>
    </w:p>
    <w:p>
      <w:pPr>
        <w:pStyle w:val="ListBullet"/>
        <w:spacing w:after="40"/>
        <w:ind w:left="259" w:hanging="173"/>
      </w:pPr>
      <w:r>
        <w:t>Use the real-only forest as the current best model and describe augmentation honestly.</w:t>
      </w:r>
    </w:p>
    <w:p>
      <w:pPr>
        <w:pStyle w:val="Heading2"/>
      </w:pPr>
      <w:r>
        <w:t>References</w:t>
      </w:r>
    </w:p>
    <w:p>
      <w:pPr>
        <w:pStyle w:val="ListBullet"/>
        <w:spacing w:after="40"/>
        <w:ind w:left="259" w:hanging="173"/>
      </w:pPr>
      <w:r>
        <w:t>scikit-learn developers. Cross-validation: evaluating estimator performance.</w:t>
      </w:r>
    </w:p>
    <w:p>
      <w:pPr>
        <w:pStyle w:val="ListBullet"/>
        <w:spacing w:after="40"/>
        <w:ind w:left="259" w:hanging="173"/>
      </w:pPr>
      <w:r>
        <w:t>scikit-learn developers. Random forests and other randomized tree ensembles.</w:t>
      </w:r>
    </w:p>
    <w:p>
      <w:pPr>
        <w:pStyle w:val="ListBullet"/>
        <w:spacing w:after="40"/>
        <w:ind w:left="259" w:hanging="173"/>
      </w:pPr>
      <w:r>
        <w:t>City of Calgary. Building Permits and Historical Property Assessments.</w:t>
      </w:r>
    </w:p>
    <w:p>
      <w:pPr>
        <w:pStyle w:val="ListBullet"/>
        <w:spacing w:after="40"/>
        <w:ind w:left="259" w:hanging="173"/>
      </w:pPr>
      <w:r>
        <w:t>Group 14 source: Model/EvaluateModels.py, Model/CrossValidation.py, Model/Evaluation.py, and Data/Code/SyntheticData.py.</w:t>
      </w:r>
    </w:p>
    <w:tbl>
      <w:tblPr>
        <w:tblW w:type="auto" w:w="0"/>
        <w:jc w:val="center"/>
        <w:tblLayout w:type="autofit"/>
        <w:tblLook w:firstColumn="1" w:firstRow="1" w:lastColumn="0" w:lastRow="0" w:noHBand="0" w:noVBand="1" w:val="04A0"/>
        <w:tblBorders>
          <w:top w:val="single" w:sz="9" w:color="CC0633"/>
          <w:left w:val="single" w:sz="9" w:color="CC0633"/>
          <w:bottom w:val="single" w:sz="9" w:color="CC0633"/>
          <w:right w:val="single" w:sz="9" w:color="CC0633"/>
          <w:insideH w:val="single" w:sz="9" w:color="CC0633"/>
          <w:insideV w:val="single" w:sz="9" w:color="CC0633"/>
        </w:tblBorders>
      </w:tblPr>
      <w:tblGrid>
        <w:gridCol w:w="10570"/>
      </w:tblGrid>
      <w:tr>
        <w:tc>
          <w:tcPr>
            <w:tcW w:type="dxa" w:w="10570"/>
            <w:shd w:fill="FFF2F5"/>
            <w:tcMar>
              <w:top w:w="85" w:type="dxa"/>
              <w:start w:w="110" w:type="dxa"/>
              <w:bottom w:w="85" w:type="dxa"/>
              <w:end w:w="110" w:type="dxa"/>
            </w:tcMar>
          </w:tcPr>
          <w:p>
            <w:pPr>
              <w:spacing w:after="0"/>
            </w:pPr>
            <w:r>
              <w:t>Originality and permission statement: This guide was written for this project and does not reproduce an instructor or external guide. Short API concepts are cited above. The authors retain copyright and grant Simon Fraser University permission to share this guide for academic use.</w:t>
            </w:r>
          </w:p>
        </w:tc>
      </w:tr>
    </w:tbl>
    <w:sectPr w:rsidR="00FC693F" w:rsidRPr="0006063C" w:rsidSect="00034616">
      <w:footerReference w:type="default" r:id="rId9"/>
      <w:pgSz w:w="12240" w:h="15840"/>
      <w:pgMar w:top="720" w:right="835" w:bottom="749"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5"/>
      </w:rPr>
      <w:t xml:space="preserve">CMPT 310 · Group 14 · Summer 2026                              </w:t>
    </w:r>
    <w:r>
      <w:t xml:space="preserve">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CC0633"/>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CC063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Arial" w:hAnsi="Arial"/>
      <w:b/>
      <w:color w:val="22222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Leakage-Safe Evaluation of an ROI Classifier – How-To Guide</dc:title>
  <dc:subject>CMPT 310 Group 14 final project</dc:subject>
  <dc:creator>Finley Thomson; Monem Moheq; Srinivas Suggu; Jarrod Hwang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