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CC0633"/>
          <w:sz w:val="17"/>
        </w:rPr>
        <w:t>PROJECT WRITE-UP · GROUP 14</w:t>
      </w:r>
    </w:p>
    <w:p>
      <w:pPr>
        <w:pStyle w:val="Title"/>
        <w:spacing w:after="80"/>
      </w:pPr>
      <w:r>
        <w:t>Calgary Residential Development</w:t>
        <w:br/>
        <w:t>ROI Classifier</w:t>
      </w:r>
    </w:p>
    <w:p>
      <w:pPr>
        <w:spacing w:after="40"/>
      </w:pPr>
      <w:r>
        <w:rPr>
          <w:b/>
          <w:sz w:val="21"/>
        </w:rPr>
        <w:t>CMPT 310 – D100 Introduction to Artificial Intelligence, Summer 2026</w:t>
      </w:r>
    </w:p>
    <w:p>
      <w:pPr>
        <w:spacing w:after="140"/>
      </w:pPr>
      <w:r>
        <w:rPr>
          <w:color w:val="555555"/>
        </w:rPr>
        <w:t>Finley Thomson · Monem Moheq · Srinivas Suggu · Jarrod Hwang</w:t>
      </w:r>
    </w:p>
    <w:tbl>
      <w:tblPr>
        <w:tblW w:type="auto" w:w="0"/>
        <w:jc w:val="center"/>
        <w:tblLook w:firstColumn="1" w:firstRow="1" w:lastColumn="0" w:lastRow="0" w:noHBand="0" w:noVBand="1" w:val="04A0"/>
      </w:tblPr>
      <w:tblGrid>
        <w:gridCol w:w="2642"/>
        <w:gridCol w:w="2642"/>
        <w:gridCol w:w="2642"/>
        <w:gridCol w:w="2642"/>
      </w:tblGrid>
      <w:tr>
        <w:tc>
          <w:tcPr>
            <w:tcW w:type="dxa" w:w="2642"/>
            <w:shd w:fill="F4F5F6"/>
            <w:tcMar>
              <w:top w:w="70" w:type="dxa"/>
              <w:start w:w="40" w:type="dxa"/>
              <w:bottom w:w="70" w:type="dxa"/>
              <w:end w:w="40" w:type="dxa"/>
            </w:tcMar>
          </w:tcPr>
          <w:p>
            <w:pPr>
              <w:jc w:val="center"/>
            </w:pPr>
            <w:r>
              <w:rPr>
                <w:b/>
                <w:color w:val="CC0633"/>
                <w:sz w:val="36"/>
              </w:rPr>
              <w:t>224</w:t>
            </w:r>
            <w:r>
              <w:rPr>
                <w:sz w:val="14"/>
              </w:rPr>
              <w:br/>
              <w:t>completed Calgary projects</w:t>
            </w:r>
          </w:p>
        </w:tc>
        <w:tc>
          <w:tcPr>
            <w:tcW w:type="dxa" w:w="2642"/>
            <w:shd w:fill="F4F5F6"/>
            <w:tcMar>
              <w:top w:w="70" w:type="dxa"/>
              <w:start w:w="40" w:type="dxa"/>
              <w:bottom w:w="70" w:type="dxa"/>
              <w:end w:w="40" w:type="dxa"/>
            </w:tcMar>
          </w:tcPr>
          <w:p>
            <w:pPr>
              <w:jc w:val="center"/>
            </w:pPr>
            <w:r>
              <w:rPr>
                <w:b/>
                <w:color w:val="CC0633"/>
                <w:sz w:val="36"/>
              </w:rPr>
              <w:t>7</w:t>
            </w:r>
            <w:r>
              <w:rPr>
                <w:sz w:val="14"/>
              </w:rPr>
              <w:br/>
              <w:t>pre-outcome inputs</w:t>
            </w:r>
          </w:p>
        </w:tc>
        <w:tc>
          <w:tcPr>
            <w:tcW w:type="dxa" w:w="2642"/>
            <w:shd w:fill="F4F5F6"/>
            <w:tcMar>
              <w:top w:w="70" w:type="dxa"/>
              <w:start w:w="40" w:type="dxa"/>
              <w:bottom w:w="70" w:type="dxa"/>
              <w:end w:w="40" w:type="dxa"/>
            </w:tcMar>
          </w:tcPr>
          <w:p>
            <w:pPr>
              <w:jc w:val="center"/>
            </w:pPr>
            <w:r>
              <w:rPr>
                <w:b/>
                <w:color w:val="CC0633"/>
                <w:sz w:val="36"/>
              </w:rPr>
              <w:t>3</w:t>
            </w:r>
            <w:r>
              <w:rPr>
                <w:sz w:val="14"/>
              </w:rPr>
              <w:br/>
              <w:t>ordered ROI classes</w:t>
            </w:r>
          </w:p>
        </w:tc>
        <w:tc>
          <w:tcPr>
            <w:tcW w:type="dxa" w:w="2642"/>
            <w:shd w:fill="F4F5F6"/>
            <w:tcMar>
              <w:top w:w="70" w:type="dxa"/>
              <w:start w:w="40" w:type="dxa"/>
              <w:bottom w:w="70" w:type="dxa"/>
              <w:end w:w="40" w:type="dxa"/>
            </w:tcMar>
          </w:tcPr>
          <w:p>
            <w:pPr>
              <w:jc w:val="center"/>
            </w:pPr>
            <w:r>
              <w:rPr>
                <w:b/>
                <w:color w:val="CC0633"/>
                <w:sz w:val="36"/>
              </w:rPr>
              <w:t>5</w:t>
            </w:r>
            <w:r>
              <w:rPr>
                <w:sz w:val="14"/>
              </w:rPr>
              <w:br/>
              <w:t>stratified folds</w:t>
            </w:r>
          </w:p>
        </w:tc>
      </w:tr>
    </w:tbl>
    <w:p>
      <w:pPr>
        <w:pStyle w:val="Heading1"/>
      </w:pPr>
      <w:r>
        <w:t>1. System explanation</w:t>
      </w:r>
    </w:p>
    <w:p>
      <w:r>
        <w:t>We built an offline supervised-learning pipeline that classifies completed Calgary residential developments as Low, Medium, or High ROI. Its intended use is research and early-stage triage: ranking projects for deeper expert review. It is not a deployed valuation service and must not be used as financial advice.</w:t>
      </w:r>
    </w:p>
    <w:p>
      <w:pPr>
        <w:pStyle w:val="Heading2"/>
      </w:pPr>
      <w:r>
        <w:t>Input, target, and output</w:t>
      </w:r>
    </w:p>
    <w:p>
      <w:r>
        <w:t>The final modeling table combines building-permit and historical assessment records with community-income and proximity features. Application years span 2017–2023 and completion years span 2018–2023. The classes are nearly balanced: 75 Low, 74 Medium, and 75 High.</w:t>
      </w:r>
    </w:p>
    <w:tbl>
      <w:tblPr>
        <w:tblW w:type="auto" w:w="0"/>
        <w:jc w:val="center"/>
        <w:tblLayout w:type="autofit"/>
        <w:tblLook w:firstColumn="1" w:firstRow="1" w:lastColumn="0" w:lastRow="0" w:noHBand="0" w:noVBand="1" w:val="04A0"/>
        <w:tblBorders>
          <w:top w:val="single" w:sz="9" w:color="CC0633"/>
          <w:left w:val="single" w:sz="9" w:color="CC0633"/>
          <w:bottom w:val="single" w:sz="9" w:color="CC0633"/>
          <w:right w:val="single" w:sz="9" w:color="CC0633"/>
          <w:insideH w:val="single" w:sz="9" w:color="CC0633"/>
          <w:insideV w:val="single" w:sz="9" w:color="CC0633"/>
        </w:tblBorders>
      </w:tblPr>
      <w:tblGrid>
        <w:gridCol w:w="10570"/>
      </w:tblGrid>
      <w:tr>
        <w:tc>
          <w:tcPr>
            <w:tcW w:type="dxa" w:w="10570"/>
            <w:shd w:fill="FFF2F5"/>
            <w:tcMar>
              <w:top w:w="85" w:type="dxa"/>
              <w:start w:w="110" w:type="dxa"/>
              <w:bottom w:w="85" w:type="dxa"/>
              <w:end w:w="110" w:type="dxa"/>
            </w:tcMar>
          </w:tcPr>
          <w:p>
            <w:pPr>
              <w:spacing w:after="0"/>
            </w:pPr>
            <w:r>
              <w:t>ROI = [Final Assessment − (Initial Assessment + Estimated Development Cost)] ÷ (Initial Assessment + Estimated Development Cost)</w:t>
            </w:r>
          </w:p>
        </w:tc>
      </w:tr>
    </w:tbl>
    <w:p>
      <w:r>
        <w:t>The classifier receives seven values available before the outcome: initial assessment, community income, cost per unit, distance to downtown, and distance to the nearest transit stop, park, and public school. Final assessment, ROI, and Classification are explicitly excluded from prediction features.</w:t>
      </w:r>
    </w:p>
    <w:p>
      <w:pPr>
        <w:pStyle w:val="Heading2"/>
      </w:pPr>
      <w:r>
        <w:t>AI and evaluation pipeline</w:t>
      </w:r>
    </w:p>
    <w:tbl>
      <w:tblPr>
        <w:tblW w:type="auto" w:w="0"/>
        <w:jc w:val="center"/>
        <w:tblLook w:firstColumn="1" w:firstRow="1" w:lastColumn="0" w:lastRow="0" w:noHBand="0" w:noVBand="1" w:val="04A0"/>
      </w:tblPr>
      <w:tblGrid>
        <w:gridCol w:w="2114"/>
        <w:gridCol w:w="2114"/>
        <w:gridCol w:w="2114"/>
        <w:gridCol w:w="2114"/>
        <w:gridCol w:w="2114"/>
      </w:tblGrid>
      <w:tr>
        <w:tc>
          <w:tcPr>
            <w:tcW w:type="dxa" w:w="2114"/>
            <w:shd w:fill="F4F5F6"/>
            <w:tcMar>
              <w:top w:w="65" w:type="dxa"/>
              <w:start w:w="45" w:type="dxa"/>
              <w:bottom w:w="65" w:type="dxa"/>
              <w:end w:w="45" w:type="dxa"/>
            </w:tcMar>
          </w:tcPr>
          <w:p>
            <w:pPr>
              <w:jc w:val="center"/>
            </w:pPr>
            <w:r>
              <w:rPr>
                <w:b/>
                <w:color w:val="CC0633"/>
              </w:rPr>
              <w:t>1 · Sources</w:t>
              <w:br/>
            </w:r>
            <w:r>
              <w:rPr>
                <w:sz w:val="14"/>
              </w:rPr>
              <w:t>Permits, assessments, income and amenities</w:t>
            </w:r>
          </w:p>
        </w:tc>
        <w:tc>
          <w:tcPr>
            <w:tcW w:type="dxa" w:w="2114"/>
            <w:shd w:fill="F4F5F6"/>
            <w:tcMar>
              <w:top w:w="65" w:type="dxa"/>
              <w:start w:w="45" w:type="dxa"/>
              <w:bottom w:w="65" w:type="dxa"/>
              <w:end w:w="45" w:type="dxa"/>
            </w:tcMar>
          </w:tcPr>
          <w:p>
            <w:pPr>
              <w:jc w:val="center"/>
            </w:pPr>
            <w:r>
              <w:rPr>
                <w:b/>
                <w:color w:val="CC0633"/>
              </w:rPr>
              <w:t>2 · Prepare</w:t>
              <w:br/>
            </w:r>
            <w:r>
              <w:rPr>
                <w:sz w:val="14"/>
              </w:rPr>
              <w:t>Clean addresses, group permits and match records</w:t>
            </w:r>
          </w:p>
        </w:tc>
        <w:tc>
          <w:tcPr>
            <w:tcW w:type="dxa" w:w="2114"/>
            <w:shd w:fill="F4F5F6"/>
            <w:tcMar>
              <w:top w:w="65" w:type="dxa"/>
              <w:start w:w="45" w:type="dxa"/>
              <w:bottom w:w="65" w:type="dxa"/>
              <w:end w:w="45" w:type="dxa"/>
            </w:tcMar>
          </w:tcPr>
          <w:p>
            <w:pPr>
              <w:jc w:val="center"/>
            </w:pPr>
            <w:r>
              <w:rPr>
                <w:b/>
                <w:color w:val="CC0633"/>
              </w:rPr>
              <w:t>3 · Engineer</w:t>
              <w:br/>
            </w:r>
            <w:r>
              <w:rPr>
                <w:sz w:val="14"/>
              </w:rPr>
              <w:t>Seven financial, neighbourhood and access inputs</w:t>
            </w:r>
          </w:p>
        </w:tc>
        <w:tc>
          <w:tcPr>
            <w:tcW w:type="dxa" w:w="2114"/>
            <w:shd w:fill="F4F5F6"/>
            <w:tcMar>
              <w:top w:w="65" w:type="dxa"/>
              <w:start w:w="45" w:type="dxa"/>
              <w:bottom w:w="65" w:type="dxa"/>
              <w:end w:w="45" w:type="dxa"/>
            </w:tcMar>
          </w:tcPr>
          <w:p>
            <w:pPr>
              <w:jc w:val="center"/>
            </w:pPr>
            <w:r>
              <w:rPr>
                <w:b/>
                <w:color w:val="CC0633"/>
              </w:rPr>
              <w:t>4 · Evaluate</w:t>
              <w:br/>
            </w:r>
            <w:r>
              <w:rPr>
                <w:sz w:val="14"/>
              </w:rPr>
              <w:t>Fold-local training; held-out real projects</w:t>
            </w:r>
          </w:p>
        </w:tc>
        <w:tc>
          <w:tcPr>
            <w:tcW w:type="dxa" w:w="2114"/>
            <w:shd w:fill="F4F5F6"/>
            <w:tcMar>
              <w:top w:w="65" w:type="dxa"/>
              <w:start w:w="45" w:type="dxa"/>
              <w:bottom w:w="65" w:type="dxa"/>
              <w:end w:w="45" w:type="dxa"/>
            </w:tcMar>
          </w:tcPr>
          <w:p>
            <w:pPr>
              <w:jc w:val="center"/>
            </w:pPr>
            <w:r>
              <w:rPr>
                <w:b/>
                <w:color w:val="CC0633"/>
              </w:rPr>
              <w:t>5 · Evidence</w:t>
              <w:br/>
            </w:r>
            <w:r>
              <w:rPr>
                <w:sz w:val="14"/>
              </w:rPr>
              <w:t>Metrics, matrices, plots and manifest</w:t>
            </w:r>
          </w:p>
        </w:tc>
      </w:tr>
    </w:tbl>
    <w:p>
      <w:r>
        <w:t>The canonical evaluator compares a majority-class baseline, scikit-learn random forest, and optional custom random forest. A separate experiment generates 3,000 multivariate-lognormal rows from each fold’s training data. Synthetic rows never enter the held-out evidence.</w:t>
      </w:r>
    </w:p>
    <w:tbl>
      <w:tblPr>
        <w:tblW w:type="auto" w:w="0"/>
        <w:jc w:val="center"/>
        <w:tblLayout w:type="autofit"/>
        <w:tblLook w:firstColumn="1" w:firstRow="1" w:lastColumn="0" w:lastRow="0" w:noHBand="0" w:noVBand="1" w:val="04A0"/>
        <w:tblBorders>
          <w:top w:val="single" w:sz="9" w:color="CC0633"/>
          <w:left w:val="single" w:sz="9" w:color="CC0633"/>
          <w:bottom w:val="single" w:sz="9" w:color="CC0633"/>
          <w:right w:val="single" w:sz="9" w:color="CC0633"/>
          <w:insideH w:val="single" w:sz="9" w:color="CC0633"/>
          <w:insideV w:val="single" w:sz="9" w:color="CC0633"/>
        </w:tblBorders>
      </w:tblPr>
      <w:tblGrid>
        <w:gridCol w:w="10570"/>
      </w:tblGrid>
      <w:tr>
        <w:tc>
          <w:tcPr>
            <w:tcW w:type="dxa" w:w="10570"/>
            <w:shd w:fill="FFF2F5"/>
            <w:tcMar>
              <w:top w:w="85" w:type="dxa"/>
              <w:start w:w="110" w:type="dxa"/>
              <w:bottom w:w="85" w:type="dxa"/>
              <w:end w:w="110" w:type="dxa"/>
            </w:tcMar>
          </w:tcPr>
          <w:p>
            <w:pPr>
              <w:spacing w:after="0"/>
            </w:pPr>
            <w:r>
              <w:t>Reliability controls: fixed seed 310; stratified folds; train-fold-only synthetic generation; outcome-column and schema checks; an explicit baseline; accuracy, macro-F1, balanced accuracy, ordinal MAE, and severe Low↔High error reporting.</w:t>
            </w:r>
          </w:p>
        </w:tc>
      </w:tr>
    </w:tbl>
    <w:p>
      <w:r>
        <w:br w:type="page"/>
      </w:r>
    </w:p>
    <w:p>
      <w:pPr>
        <w:pStyle w:val="Heading1"/>
      </w:pPr>
      <w:r>
        <w:t>Evaluation, results, and limitations</w:t>
      </w:r>
    </w:p>
    <w:p>
      <w:r>
        <w:t>Each real project appears once in held-out evidence, producing 224 out-of-fold predictions. Forests use 100 trees, maximum depth 7, three candidate features per split, and minimum leaf size 5. Macro-F1 gives each class equal weight; ordinal MAE measures how far predictions move across the ordered labels.</w:t>
      </w:r>
    </w:p>
    <w:tbl>
      <w:tblPr>
        <w:tblW w:type="auto" w:w="0"/>
        <w:jc w:val="center"/>
        <w:tblLayout w:type="autofit"/>
        <w:tblLook w:firstColumn="1" w:firstRow="1" w:lastColumn="0" w:lastRow="0" w:noHBand="0" w:noVBand="1" w:val="04A0"/>
      </w:tblPr>
      <w:tblGrid>
        <w:gridCol w:w="5285"/>
        <w:gridCol w:w="5285"/>
      </w:tblGrid>
      <w:tr>
        <w:tc>
          <w:tcPr>
            <w:tcW w:type="dxa" w:w="5285"/>
            <w:tcMar>
              <w:top w:w="20" w:type="dxa"/>
              <w:start w:w="40" w:type="dxa"/>
              <w:bottom w:w="20" w:type="dxa"/>
              <w:end w:w="40" w:type="dxa"/>
            </w:tcMar>
          </w:tcPr>
          <w:p>
            <w:pPr>
              <w:jc w:val="center"/>
            </w:pPr>
            <w:r>
              <w:drawing>
                <wp:inline xmlns:a="http://schemas.openxmlformats.org/drawingml/2006/main" xmlns:pic="http://schemas.openxmlformats.org/drawingml/2006/picture">
                  <wp:extent cx="3429000" cy="1580109"/>
                  <wp:docPr id="1" name="Picture 1"/>
                  <wp:cNvGraphicFramePr>
                    <a:graphicFrameLocks noChangeAspect="1"/>
                  </wp:cNvGraphicFramePr>
                  <a:graphic>
                    <a:graphicData uri="http://schemas.openxmlformats.org/drawingml/2006/picture">
                      <pic:pic>
                        <pic:nvPicPr>
                          <pic:cNvPr id="0" name="report-1.png"/>
                          <pic:cNvPicPr/>
                        </pic:nvPicPr>
                        <pic:blipFill>
                          <a:blip r:embed="rId10"/>
                          <a:stretch>
                            <a:fillRect/>
                          </a:stretch>
                        </pic:blipFill>
                        <pic:spPr>
                          <a:xfrm>
                            <a:off x="0" y="0"/>
                            <a:ext cx="3429000" cy="1580109"/>
                          </a:xfrm>
                          <a:prstGeom prst="rect"/>
                        </pic:spPr>
                      </pic:pic>
                    </a:graphicData>
                  </a:graphic>
                </wp:inline>
              </w:drawing>
            </w:r>
          </w:p>
          <w:p>
            <w:pPr>
              <w:jc w:val="center"/>
            </w:pPr>
            <w:r>
              <w:rPr>
                <w:i/>
                <w:color w:val="555555"/>
                <w:sz w:val="14"/>
              </w:rPr>
              <w:t>Figure 1. Five-fold mean ± standard deviation on held-out real projects.</w:t>
            </w:r>
          </w:p>
        </w:tc>
        <w:tc>
          <w:tcPr>
            <w:tcW w:type="dxa" w:w="5285"/>
            <w:tcMar>
              <w:top w:w="20" w:type="dxa"/>
              <w:start w:w="40" w:type="dxa"/>
              <w:bottom w:w="20" w:type="dxa"/>
              <w:end w:w="40" w:type="dxa"/>
            </w:tcMar>
          </w:tcPr>
          <w:p>
            <w:pPr>
              <w:jc w:val="center"/>
            </w:pPr>
            <w:r>
              <w:drawing>
                <wp:inline xmlns:a="http://schemas.openxmlformats.org/drawingml/2006/main" xmlns:pic="http://schemas.openxmlformats.org/drawingml/2006/picture">
                  <wp:extent cx="2194560" cy="2012026"/>
                  <wp:docPr id="2" name="Picture 2"/>
                  <wp:cNvGraphicFramePr>
                    <a:graphicFrameLocks noChangeAspect="1"/>
                  </wp:cNvGraphicFramePr>
                  <a:graphic>
                    <a:graphicData uri="http://schemas.openxmlformats.org/drawingml/2006/picture">
                      <pic:pic>
                        <pic:nvPicPr>
                          <pic:cNvPr id="0" name="report-2.png"/>
                          <pic:cNvPicPr/>
                        </pic:nvPicPr>
                        <pic:blipFill>
                          <a:blip r:embed="rId11"/>
                          <a:stretch>
                            <a:fillRect/>
                          </a:stretch>
                        </pic:blipFill>
                        <pic:spPr>
                          <a:xfrm>
                            <a:off x="0" y="0"/>
                            <a:ext cx="2194560" cy="2012026"/>
                          </a:xfrm>
                          <a:prstGeom prst="rect"/>
                        </pic:spPr>
                      </pic:pic>
                    </a:graphicData>
                  </a:graphic>
                </wp:inline>
              </w:drawing>
            </w:r>
          </w:p>
          <w:p>
            <w:pPr>
              <w:jc w:val="center"/>
            </w:pPr>
            <w:r>
              <w:rPr>
                <w:i/>
                <w:color w:val="555555"/>
                <w:sz w:val="14"/>
              </w:rPr>
              <w:t>Figure 2. Row-normalized confusion matrix; diagonal cells are class recall.</w:t>
            </w:r>
          </w:p>
        </w:tc>
      </w:tr>
    </w:tbl>
    <w:tbl>
      <w:tblPr>
        <w:tblW w:type="auto" w:w="0"/>
        <w:jc w:val="center"/>
        <w:tblLayout w:type="autofit"/>
        <w:tblLook w:firstColumn="1" w:firstRow="1" w:lastColumn="0" w:lastRow="0" w:noHBand="0" w:noVBand="1" w:val="04A0"/>
        <w:tblBorders>
          <w:top w:val="single" w:sz="6" w:color="C9CDD1"/>
          <w:left w:val="single" w:sz="6" w:color="C9CDD1"/>
          <w:bottom w:val="single" w:sz="6" w:color="C9CDD1"/>
          <w:right w:val="single" w:sz="6" w:color="C9CDD1"/>
          <w:insideH w:val="single" w:sz="6" w:color="C9CDD1"/>
          <w:insideV w:val="single" w:sz="6" w:color="C9CDD1"/>
        </w:tblBorders>
      </w:tblPr>
      <w:tblGrid>
        <w:gridCol w:w="1762"/>
        <w:gridCol w:w="1762"/>
        <w:gridCol w:w="1762"/>
        <w:gridCol w:w="1762"/>
        <w:gridCol w:w="1762"/>
        <w:gridCol w:w="1762"/>
      </w:tblGrid>
      <w:tr>
        <w:trPr>
          <w:tblHeader w:val="true"/>
        </w:trPr>
        <w:tc>
          <w:tcPr>
            <w:tcW w:type="dxa" w:w="1762"/>
            <w:shd w:fill="343A40"/>
            <w:tcMar>
              <w:top w:w="60" w:type="dxa"/>
              <w:start w:w="70" w:type="dxa"/>
              <w:bottom w:w="60" w:type="dxa"/>
              <w:end w:w="70" w:type="dxa"/>
            </w:tcMar>
          </w:tcPr>
          <w:p>
            <w:pPr>
              <w:spacing w:after="0"/>
            </w:pPr>
            <w:r>
              <w:rPr>
                <w:b/>
                <w:color w:val="FFFFFF"/>
                <w:sz w:val="14"/>
              </w:rPr>
              <w:t>Model</w:t>
            </w:r>
          </w:p>
        </w:tc>
        <w:tc>
          <w:tcPr>
            <w:tcW w:type="dxa" w:w="1762"/>
            <w:shd w:fill="343A40"/>
            <w:tcMar>
              <w:top w:w="60" w:type="dxa"/>
              <w:start w:w="70" w:type="dxa"/>
              <w:bottom w:w="60" w:type="dxa"/>
              <w:end w:w="70" w:type="dxa"/>
            </w:tcMar>
          </w:tcPr>
          <w:p>
            <w:pPr>
              <w:spacing w:after="0"/>
            </w:pPr>
            <w:r>
              <w:rPr>
                <w:b/>
                <w:color w:val="FFFFFF"/>
                <w:sz w:val="14"/>
              </w:rPr>
              <w:t>Training</w:t>
            </w:r>
          </w:p>
        </w:tc>
        <w:tc>
          <w:tcPr>
            <w:tcW w:type="dxa" w:w="1762"/>
            <w:shd w:fill="343A40"/>
            <w:tcMar>
              <w:top w:w="60" w:type="dxa"/>
              <w:start w:w="70" w:type="dxa"/>
              <w:bottom w:w="60" w:type="dxa"/>
              <w:end w:w="70" w:type="dxa"/>
            </w:tcMar>
          </w:tcPr>
          <w:p>
            <w:pPr>
              <w:spacing w:after="0"/>
            </w:pPr>
            <w:r>
              <w:rPr>
                <w:b/>
                <w:color w:val="FFFFFF"/>
                <w:sz w:val="14"/>
              </w:rPr>
              <w:t>Accuracy</w:t>
            </w:r>
          </w:p>
        </w:tc>
        <w:tc>
          <w:tcPr>
            <w:tcW w:type="dxa" w:w="1762"/>
            <w:shd w:fill="343A40"/>
            <w:tcMar>
              <w:top w:w="60" w:type="dxa"/>
              <w:start w:w="70" w:type="dxa"/>
              <w:bottom w:w="60" w:type="dxa"/>
              <w:end w:w="70" w:type="dxa"/>
            </w:tcMar>
          </w:tcPr>
          <w:p>
            <w:pPr>
              <w:spacing w:after="0"/>
            </w:pPr>
            <w:r>
              <w:rPr>
                <w:b/>
                <w:color w:val="FFFFFF"/>
                <w:sz w:val="14"/>
              </w:rPr>
              <w:t>Macro-F1</w:t>
            </w:r>
          </w:p>
        </w:tc>
        <w:tc>
          <w:tcPr>
            <w:tcW w:type="dxa" w:w="1762"/>
            <w:shd w:fill="343A40"/>
            <w:tcMar>
              <w:top w:w="60" w:type="dxa"/>
              <w:start w:w="70" w:type="dxa"/>
              <w:bottom w:w="60" w:type="dxa"/>
              <w:end w:w="70" w:type="dxa"/>
            </w:tcMar>
          </w:tcPr>
          <w:p>
            <w:pPr>
              <w:spacing w:after="0"/>
            </w:pPr>
            <w:r>
              <w:rPr>
                <w:b/>
                <w:color w:val="FFFFFF"/>
                <w:sz w:val="14"/>
              </w:rPr>
              <w:t>Ordinal MAE</w:t>
            </w:r>
          </w:p>
        </w:tc>
        <w:tc>
          <w:tcPr>
            <w:tcW w:type="dxa" w:w="1762"/>
            <w:shd w:fill="343A40"/>
            <w:tcMar>
              <w:top w:w="60" w:type="dxa"/>
              <w:start w:w="70" w:type="dxa"/>
              <w:bottom w:w="60" w:type="dxa"/>
              <w:end w:w="70" w:type="dxa"/>
            </w:tcMar>
          </w:tcPr>
          <w:p>
            <w:pPr>
              <w:spacing w:after="0"/>
            </w:pPr>
            <w:r>
              <w:rPr>
                <w:b/>
                <w:color w:val="FFFFFF"/>
                <w:sz w:val="14"/>
              </w:rPr>
              <w:t>Severe</w:t>
            </w:r>
          </w:p>
        </w:tc>
      </w:tr>
      <w:tr>
        <w:tc>
          <w:tcPr>
            <w:tcW w:type="dxa" w:w="1762"/>
            <w:vAlign w:val="top"/>
            <w:tcMar>
              <w:top w:w="60" w:type="dxa"/>
              <w:start w:w="70" w:type="dxa"/>
              <w:bottom w:w="60" w:type="dxa"/>
              <w:end w:w="70" w:type="dxa"/>
            </w:tcMar>
          </w:tcPr>
          <w:p>
            <w:pPr>
              <w:spacing w:after="0"/>
            </w:pPr>
            <w:r>
              <w:rPr>
                <w:sz w:val="14"/>
              </w:rPr>
              <w:t>Majority baseline</w:t>
            </w:r>
          </w:p>
        </w:tc>
        <w:tc>
          <w:tcPr>
            <w:tcW w:type="dxa" w:w="1762"/>
            <w:vAlign w:val="top"/>
            <w:tcMar>
              <w:top w:w="60" w:type="dxa"/>
              <w:start w:w="70" w:type="dxa"/>
              <w:bottom w:w="60" w:type="dxa"/>
              <w:end w:w="70" w:type="dxa"/>
            </w:tcMar>
          </w:tcPr>
          <w:p>
            <w:pPr>
              <w:spacing w:after="0"/>
            </w:pPr>
            <w:r>
              <w:rPr>
                <w:sz w:val="14"/>
              </w:rPr>
              <w:t>Real only</w:t>
            </w:r>
          </w:p>
        </w:tc>
        <w:tc>
          <w:tcPr>
            <w:tcW w:type="dxa" w:w="1762"/>
            <w:vAlign w:val="top"/>
            <w:tcMar>
              <w:top w:w="60" w:type="dxa"/>
              <w:start w:w="70" w:type="dxa"/>
              <w:bottom w:w="60" w:type="dxa"/>
              <w:end w:w="70" w:type="dxa"/>
            </w:tcMar>
          </w:tcPr>
          <w:p>
            <w:pPr>
              <w:spacing w:after="0"/>
            </w:pPr>
            <w:r>
              <w:rPr>
                <w:sz w:val="14"/>
              </w:rPr>
              <w:t>33.5%</w:t>
            </w:r>
          </w:p>
        </w:tc>
        <w:tc>
          <w:tcPr>
            <w:tcW w:type="dxa" w:w="1762"/>
            <w:vAlign w:val="top"/>
            <w:tcMar>
              <w:top w:w="60" w:type="dxa"/>
              <w:start w:w="70" w:type="dxa"/>
              <w:bottom w:w="60" w:type="dxa"/>
              <w:end w:w="70" w:type="dxa"/>
            </w:tcMar>
          </w:tcPr>
          <w:p>
            <w:pPr>
              <w:spacing w:after="0"/>
            </w:pPr>
            <w:r>
              <w:rPr>
                <w:sz w:val="14"/>
              </w:rPr>
              <w:t>16.7%</w:t>
            </w:r>
          </w:p>
        </w:tc>
        <w:tc>
          <w:tcPr>
            <w:tcW w:type="dxa" w:w="1762"/>
            <w:vAlign w:val="top"/>
            <w:tcMar>
              <w:top w:w="60" w:type="dxa"/>
              <w:start w:w="70" w:type="dxa"/>
              <w:bottom w:w="60" w:type="dxa"/>
              <w:end w:w="70" w:type="dxa"/>
            </w:tcMar>
          </w:tcPr>
          <w:p>
            <w:pPr>
              <w:spacing w:after="0"/>
            </w:pPr>
            <w:r>
              <w:rPr>
                <w:sz w:val="14"/>
              </w:rPr>
              <w:t>1.000</w:t>
            </w:r>
          </w:p>
        </w:tc>
        <w:tc>
          <w:tcPr>
            <w:tcW w:type="dxa" w:w="1762"/>
            <w:vAlign w:val="top"/>
            <w:tcMar>
              <w:top w:w="60" w:type="dxa"/>
              <w:start w:w="70" w:type="dxa"/>
              <w:bottom w:w="60" w:type="dxa"/>
              <w:end w:w="70" w:type="dxa"/>
            </w:tcMar>
          </w:tcPr>
          <w:p>
            <w:pPr>
              <w:spacing w:after="0"/>
            </w:pPr>
            <w:r>
              <w:rPr>
                <w:sz w:val="14"/>
              </w:rPr>
              <w:t>75</w:t>
            </w:r>
          </w:p>
        </w:tc>
      </w:tr>
      <w:tr>
        <w:tc>
          <w:tcPr>
            <w:tcW w:type="dxa" w:w="1762"/>
            <w:shd w:fill="F4F5F6"/>
            <w:vAlign w:val="top"/>
            <w:tcMar>
              <w:top w:w="60" w:type="dxa"/>
              <w:start w:w="70" w:type="dxa"/>
              <w:bottom w:w="60" w:type="dxa"/>
              <w:end w:w="70" w:type="dxa"/>
            </w:tcMar>
          </w:tcPr>
          <w:p>
            <w:pPr>
              <w:spacing w:after="0"/>
            </w:pPr>
            <w:r>
              <w:rPr>
                <w:sz w:val="14"/>
              </w:rPr>
              <w:t>scikit-learn RF</w:t>
            </w:r>
          </w:p>
        </w:tc>
        <w:tc>
          <w:tcPr>
            <w:tcW w:type="dxa" w:w="1762"/>
            <w:shd w:fill="F4F5F6"/>
            <w:vAlign w:val="top"/>
            <w:tcMar>
              <w:top w:w="60" w:type="dxa"/>
              <w:start w:w="70" w:type="dxa"/>
              <w:bottom w:w="60" w:type="dxa"/>
              <w:end w:w="70" w:type="dxa"/>
            </w:tcMar>
          </w:tcPr>
          <w:p>
            <w:pPr>
              <w:spacing w:after="0"/>
            </w:pPr>
            <w:r>
              <w:rPr>
                <w:sz w:val="14"/>
              </w:rPr>
              <w:t>Real only</w:t>
            </w:r>
          </w:p>
        </w:tc>
        <w:tc>
          <w:tcPr>
            <w:tcW w:type="dxa" w:w="1762"/>
            <w:shd w:fill="F4F5F6"/>
            <w:vAlign w:val="top"/>
            <w:tcMar>
              <w:top w:w="60" w:type="dxa"/>
              <w:start w:w="70" w:type="dxa"/>
              <w:bottom w:w="60" w:type="dxa"/>
              <w:end w:w="70" w:type="dxa"/>
            </w:tcMar>
          </w:tcPr>
          <w:p>
            <w:pPr>
              <w:spacing w:after="0"/>
            </w:pPr>
            <w:r>
              <w:rPr>
                <w:sz w:val="14"/>
              </w:rPr>
              <w:t>44.6% ± 8.5%</w:t>
            </w:r>
          </w:p>
        </w:tc>
        <w:tc>
          <w:tcPr>
            <w:tcW w:type="dxa" w:w="1762"/>
            <w:shd w:fill="F4F5F6"/>
            <w:vAlign w:val="top"/>
            <w:tcMar>
              <w:top w:w="60" w:type="dxa"/>
              <w:start w:w="70" w:type="dxa"/>
              <w:bottom w:w="60" w:type="dxa"/>
              <w:end w:w="70" w:type="dxa"/>
            </w:tcMar>
          </w:tcPr>
          <w:p>
            <w:pPr>
              <w:spacing w:after="0"/>
            </w:pPr>
            <w:r>
              <w:rPr>
                <w:sz w:val="14"/>
              </w:rPr>
              <w:t>44.4% ± 8.4%</w:t>
            </w:r>
          </w:p>
        </w:tc>
        <w:tc>
          <w:tcPr>
            <w:tcW w:type="dxa" w:w="1762"/>
            <w:shd w:fill="F4F5F6"/>
            <w:vAlign w:val="top"/>
            <w:tcMar>
              <w:top w:w="60" w:type="dxa"/>
              <w:start w:w="70" w:type="dxa"/>
              <w:bottom w:w="60" w:type="dxa"/>
              <w:end w:w="70" w:type="dxa"/>
            </w:tcMar>
          </w:tcPr>
          <w:p>
            <w:pPr>
              <w:spacing w:after="0"/>
            </w:pPr>
            <w:r>
              <w:rPr>
                <w:sz w:val="14"/>
              </w:rPr>
              <w:t>0.750</w:t>
            </w:r>
          </w:p>
        </w:tc>
        <w:tc>
          <w:tcPr>
            <w:tcW w:type="dxa" w:w="1762"/>
            <w:shd w:fill="F4F5F6"/>
            <w:vAlign w:val="top"/>
            <w:tcMar>
              <w:top w:w="60" w:type="dxa"/>
              <w:start w:w="70" w:type="dxa"/>
              <w:bottom w:w="60" w:type="dxa"/>
              <w:end w:w="70" w:type="dxa"/>
            </w:tcMar>
          </w:tcPr>
          <w:p>
            <w:pPr>
              <w:spacing w:after="0"/>
            </w:pPr>
            <w:r>
              <w:rPr>
                <w:sz w:val="14"/>
              </w:rPr>
              <w:t>44</w:t>
            </w:r>
          </w:p>
        </w:tc>
      </w:tr>
      <w:tr>
        <w:tc>
          <w:tcPr>
            <w:tcW w:type="dxa" w:w="1762"/>
            <w:vAlign w:val="top"/>
            <w:tcMar>
              <w:top w:w="60" w:type="dxa"/>
              <w:start w:w="70" w:type="dxa"/>
              <w:bottom w:w="60" w:type="dxa"/>
              <w:end w:w="70" w:type="dxa"/>
            </w:tcMar>
          </w:tcPr>
          <w:p>
            <w:pPr>
              <w:spacing w:after="0"/>
            </w:pPr>
            <w:r>
              <w:rPr>
                <w:sz w:val="14"/>
              </w:rPr>
              <w:t>Custom RF</w:t>
            </w:r>
          </w:p>
        </w:tc>
        <w:tc>
          <w:tcPr>
            <w:tcW w:type="dxa" w:w="1762"/>
            <w:vAlign w:val="top"/>
            <w:tcMar>
              <w:top w:w="60" w:type="dxa"/>
              <w:start w:w="70" w:type="dxa"/>
              <w:bottom w:w="60" w:type="dxa"/>
              <w:end w:w="70" w:type="dxa"/>
            </w:tcMar>
          </w:tcPr>
          <w:p>
            <w:pPr>
              <w:spacing w:after="0"/>
            </w:pPr>
            <w:r>
              <w:rPr>
                <w:sz w:val="14"/>
              </w:rPr>
              <w:t>Real only</w:t>
            </w:r>
          </w:p>
        </w:tc>
        <w:tc>
          <w:tcPr>
            <w:tcW w:type="dxa" w:w="1762"/>
            <w:vAlign w:val="top"/>
            <w:tcMar>
              <w:top w:w="60" w:type="dxa"/>
              <w:start w:w="70" w:type="dxa"/>
              <w:bottom w:w="60" w:type="dxa"/>
              <w:end w:w="70" w:type="dxa"/>
            </w:tcMar>
          </w:tcPr>
          <w:p>
            <w:pPr>
              <w:spacing w:after="0"/>
            </w:pPr>
            <w:r>
              <w:rPr>
                <w:sz w:val="14"/>
              </w:rPr>
              <w:t>42.4% ± 6.7%</w:t>
            </w:r>
          </w:p>
        </w:tc>
        <w:tc>
          <w:tcPr>
            <w:tcW w:type="dxa" w:w="1762"/>
            <w:vAlign w:val="top"/>
            <w:tcMar>
              <w:top w:w="60" w:type="dxa"/>
              <w:start w:w="70" w:type="dxa"/>
              <w:bottom w:w="60" w:type="dxa"/>
              <w:end w:w="70" w:type="dxa"/>
            </w:tcMar>
          </w:tcPr>
          <w:p>
            <w:pPr>
              <w:spacing w:after="0"/>
            </w:pPr>
            <w:r>
              <w:rPr>
                <w:sz w:val="14"/>
              </w:rPr>
              <w:t>41.6% ± 6.8%</w:t>
            </w:r>
          </w:p>
        </w:tc>
        <w:tc>
          <w:tcPr>
            <w:tcW w:type="dxa" w:w="1762"/>
            <w:vAlign w:val="top"/>
            <w:tcMar>
              <w:top w:w="60" w:type="dxa"/>
              <w:start w:w="70" w:type="dxa"/>
              <w:bottom w:w="60" w:type="dxa"/>
              <w:end w:w="70" w:type="dxa"/>
            </w:tcMar>
          </w:tcPr>
          <w:p>
            <w:pPr>
              <w:spacing w:after="0"/>
            </w:pPr>
            <w:r>
              <w:rPr>
                <w:sz w:val="14"/>
              </w:rPr>
              <w:t>0.777</w:t>
            </w:r>
          </w:p>
        </w:tc>
        <w:tc>
          <w:tcPr>
            <w:tcW w:type="dxa" w:w="1762"/>
            <w:vAlign w:val="top"/>
            <w:tcMar>
              <w:top w:w="60" w:type="dxa"/>
              <w:start w:w="70" w:type="dxa"/>
              <w:bottom w:w="60" w:type="dxa"/>
              <w:end w:w="70" w:type="dxa"/>
            </w:tcMar>
          </w:tcPr>
          <w:p>
            <w:pPr>
              <w:spacing w:after="0"/>
            </w:pPr>
            <w:r>
              <w:rPr>
                <w:sz w:val="14"/>
              </w:rPr>
              <w:t>45</w:t>
            </w:r>
          </w:p>
        </w:tc>
      </w:tr>
      <w:tr>
        <w:tc>
          <w:tcPr>
            <w:tcW w:type="dxa" w:w="1762"/>
            <w:shd w:fill="F4F5F6"/>
            <w:vAlign w:val="top"/>
            <w:tcMar>
              <w:top w:w="60" w:type="dxa"/>
              <w:start w:w="70" w:type="dxa"/>
              <w:bottom w:w="60" w:type="dxa"/>
              <w:end w:w="70" w:type="dxa"/>
            </w:tcMar>
          </w:tcPr>
          <w:p>
            <w:pPr>
              <w:spacing w:after="0"/>
            </w:pPr>
            <w:r>
              <w:rPr>
                <w:sz w:val="14"/>
              </w:rPr>
              <w:t>scikit-learn RF</w:t>
            </w:r>
          </w:p>
        </w:tc>
        <w:tc>
          <w:tcPr>
            <w:tcW w:type="dxa" w:w="1762"/>
            <w:shd w:fill="F4F5F6"/>
            <w:vAlign w:val="top"/>
            <w:tcMar>
              <w:top w:w="60" w:type="dxa"/>
              <w:start w:w="70" w:type="dxa"/>
              <w:bottom w:w="60" w:type="dxa"/>
              <w:end w:w="70" w:type="dxa"/>
            </w:tcMar>
          </w:tcPr>
          <w:p>
            <w:pPr>
              <w:spacing w:after="0"/>
            </w:pPr>
            <w:r>
              <w:rPr>
                <w:sz w:val="14"/>
              </w:rPr>
              <w:t>+3,000/fold</w:t>
            </w:r>
          </w:p>
        </w:tc>
        <w:tc>
          <w:tcPr>
            <w:tcW w:type="dxa" w:w="1762"/>
            <w:shd w:fill="F4F5F6"/>
            <w:vAlign w:val="top"/>
            <w:tcMar>
              <w:top w:w="60" w:type="dxa"/>
              <w:start w:w="70" w:type="dxa"/>
              <w:bottom w:w="60" w:type="dxa"/>
              <w:end w:w="70" w:type="dxa"/>
            </w:tcMar>
          </w:tcPr>
          <w:p>
            <w:pPr>
              <w:spacing w:after="0"/>
            </w:pPr>
            <w:r>
              <w:rPr>
                <w:sz w:val="14"/>
              </w:rPr>
              <w:t>38.4% ± 4.8%</w:t>
            </w:r>
          </w:p>
        </w:tc>
        <w:tc>
          <w:tcPr>
            <w:tcW w:type="dxa" w:w="1762"/>
            <w:shd w:fill="F4F5F6"/>
            <w:vAlign w:val="top"/>
            <w:tcMar>
              <w:top w:w="60" w:type="dxa"/>
              <w:start w:w="70" w:type="dxa"/>
              <w:bottom w:w="60" w:type="dxa"/>
              <w:end w:w="70" w:type="dxa"/>
            </w:tcMar>
          </w:tcPr>
          <w:p>
            <w:pPr>
              <w:spacing w:after="0"/>
            </w:pPr>
            <w:r>
              <w:rPr>
                <w:sz w:val="14"/>
              </w:rPr>
              <w:t>30.6% ± 3.7%</w:t>
            </w:r>
          </w:p>
        </w:tc>
        <w:tc>
          <w:tcPr>
            <w:tcW w:type="dxa" w:w="1762"/>
            <w:shd w:fill="F4F5F6"/>
            <w:vAlign w:val="top"/>
            <w:tcMar>
              <w:top w:w="60" w:type="dxa"/>
              <w:start w:w="70" w:type="dxa"/>
              <w:bottom w:w="60" w:type="dxa"/>
              <w:end w:w="70" w:type="dxa"/>
            </w:tcMar>
          </w:tcPr>
          <w:p>
            <w:pPr>
              <w:spacing w:after="0"/>
            </w:pPr>
            <w:r>
              <w:rPr>
                <w:sz w:val="14"/>
              </w:rPr>
              <w:t>0.902</w:t>
            </w:r>
          </w:p>
        </w:tc>
        <w:tc>
          <w:tcPr>
            <w:tcW w:type="dxa" w:w="1762"/>
            <w:shd w:fill="F4F5F6"/>
            <w:vAlign w:val="top"/>
            <w:tcMar>
              <w:top w:w="60" w:type="dxa"/>
              <w:start w:w="70" w:type="dxa"/>
              <w:bottom w:w="60" w:type="dxa"/>
              <w:end w:w="70" w:type="dxa"/>
            </w:tcMar>
          </w:tcPr>
          <w:p>
            <w:pPr>
              <w:spacing w:after="0"/>
            </w:pPr>
            <w:r>
              <w:rPr>
                <w:sz w:val="14"/>
              </w:rPr>
              <w:t>64</w:t>
            </w:r>
          </w:p>
        </w:tc>
      </w:tr>
      <w:tr>
        <w:tc>
          <w:tcPr>
            <w:tcW w:type="dxa" w:w="1762"/>
            <w:vAlign w:val="top"/>
            <w:tcMar>
              <w:top w:w="60" w:type="dxa"/>
              <w:start w:w="70" w:type="dxa"/>
              <w:bottom w:w="60" w:type="dxa"/>
              <w:end w:w="70" w:type="dxa"/>
            </w:tcMar>
          </w:tcPr>
          <w:p>
            <w:pPr>
              <w:spacing w:after="0"/>
            </w:pPr>
            <w:r>
              <w:rPr>
                <w:sz w:val="14"/>
              </w:rPr>
              <w:t>Custom RF</w:t>
            </w:r>
          </w:p>
        </w:tc>
        <w:tc>
          <w:tcPr>
            <w:tcW w:type="dxa" w:w="1762"/>
            <w:vAlign w:val="top"/>
            <w:tcMar>
              <w:top w:w="60" w:type="dxa"/>
              <w:start w:w="70" w:type="dxa"/>
              <w:bottom w:w="60" w:type="dxa"/>
              <w:end w:w="70" w:type="dxa"/>
            </w:tcMar>
          </w:tcPr>
          <w:p>
            <w:pPr>
              <w:spacing w:after="0"/>
            </w:pPr>
            <w:r>
              <w:rPr>
                <w:sz w:val="14"/>
              </w:rPr>
              <w:t>+3,000/fold</w:t>
            </w:r>
          </w:p>
        </w:tc>
        <w:tc>
          <w:tcPr>
            <w:tcW w:type="dxa" w:w="1762"/>
            <w:vAlign w:val="top"/>
            <w:tcMar>
              <w:top w:w="60" w:type="dxa"/>
              <w:start w:w="70" w:type="dxa"/>
              <w:bottom w:w="60" w:type="dxa"/>
              <w:end w:w="70" w:type="dxa"/>
            </w:tcMar>
          </w:tcPr>
          <w:p>
            <w:pPr>
              <w:spacing w:after="0"/>
            </w:pPr>
            <w:r>
              <w:rPr>
                <w:sz w:val="14"/>
              </w:rPr>
              <w:t>37.5% ± 3.7%</w:t>
            </w:r>
          </w:p>
        </w:tc>
        <w:tc>
          <w:tcPr>
            <w:tcW w:type="dxa" w:w="1762"/>
            <w:vAlign w:val="top"/>
            <w:tcMar>
              <w:top w:w="60" w:type="dxa"/>
              <w:start w:w="70" w:type="dxa"/>
              <w:bottom w:w="60" w:type="dxa"/>
              <w:end w:w="70" w:type="dxa"/>
            </w:tcMar>
          </w:tcPr>
          <w:p>
            <w:pPr>
              <w:spacing w:after="0"/>
            </w:pPr>
            <w:r>
              <w:rPr>
                <w:sz w:val="14"/>
              </w:rPr>
              <w:t>30.0% ± 2.9%</w:t>
            </w:r>
          </w:p>
        </w:tc>
        <w:tc>
          <w:tcPr>
            <w:tcW w:type="dxa" w:w="1762"/>
            <w:vAlign w:val="top"/>
            <w:tcMar>
              <w:top w:w="60" w:type="dxa"/>
              <w:start w:w="70" w:type="dxa"/>
              <w:bottom w:w="60" w:type="dxa"/>
              <w:end w:w="70" w:type="dxa"/>
            </w:tcMar>
          </w:tcPr>
          <w:p>
            <w:pPr>
              <w:spacing w:after="0"/>
            </w:pPr>
            <w:r>
              <w:rPr>
                <w:sz w:val="14"/>
              </w:rPr>
              <w:t>0.920</w:t>
            </w:r>
          </w:p>
        </w:tc>
        <w:tc>
          <w:tcPr>
            <w:tcW w:type="dxa" w:w="1762"/>
            <w:vAlign w:val="top"/>
            <w:tcMar>
              <w:top w:w="60" w:type="dxa"/>
              <w:start w:w="70" w:type="dxa"/>
              <w:bottom w:w="60" w:type="dxa"/>
              <w:end w:w="70" w:type="dxa"/>
            </w:tcMar>
          </w:tcPr>
          <w:p>
            <w:pPr>
              <w:spacing w:after="0"/>
            </w:pPr>
            <w:r>
              <w:rPr>
                <w:sz w:val="14"/>
              </w:rPr>
              <w:t>66</w:t>
            </w:r>
          </w:p>
        </w:tc>
      </w:tr>
    </w:tbl>
    <w:p>
      <w:pPr>
        <w:pStyle w:val="Heading2"/>
      </w:pPr>
      <w:r>
        <w:t>Interpretation</w:t>
      </w:r>
    </w:p>
    <w:p>
      <w:r>
        <w:t>The real-only scikit-learn forest is the best tested model. It improves accuracy by 11.1 percentage points and macro-F1 by 27.7 points over the baseline. Recall remains modest—48.0% for Low, 44.6% for Medium, and 41.3% for High—and 44 predictions are severe Low↔High mistakes (19.6%).</w:t>
      </w:r>
    </w:p>
    <w:p>
      <w:r>
        <w:t>The synthetic-data hypothesis failed. Adding 3,000 generated rows per fold reduced both accuracy and macro-F1; the augmented scikit-learn model predicted no Medium cases. We therefore select the real-only model and report augmentation as a negative result.</w:t>
      </w:r>
    </w:p>
    <w:tbl>
      <w:tblPr>
        <w:tblW w:type="auto" w:w="0"/>
        <w:jc w:val="center"/>
        <w:tblLayout w:type="autofit"/>
        <w:tblLook w:firstColumn="1" w:firstRow="1" w:lastColumn="0" w:lastRow="0" w:noHBand="0" w:noVBand="1" w:val="04A0"/>
        <w:tblBorders>
          <w:top w:val="single" w:sz="9" w:color="D99B1B"/>
          <w:left w:val="single" w:sz="9" w:color="D99B1B"/>
          <w:bottom w:val="single" w:sz="9" w:color="D99B1B"/>
          <w:right w:val="single" w:sz="9" w:color="D99B1B"/>
          <w:insideH w:val="single" w:sz="9" w:color="D99B1B"/>
          <w:insideV w:val="single" w:sz="9" w:color="D99B1B"/>
        </w:tblBorders>
      </w:tblPr>
      <w:tblGrid>
        <w:gridCol w:w="10570"/>
      </w:tblGrid>
      <w:tr>
        <w:tc>
          <w:tcPr>
            <w:tcW w:type="dxa" w:w="10570"/>
            <w:shd w:fill="FFF8E6"/>
            <w:tcMar>
              <w:top w:w="85" w:type="dxa"/>
              <w:start w:w="110" w:type="dxa"/>
              <w:bottom w:w="85" w:type="dxa"/>
              <w:end w:w="110" w:type="dxa"/>
            </w:tcMar>
          </w:tcPr>
          <w:p>
            <w:pPr>
              <w:spacing w:after="0"/>
            </w:pPr>
            <w:r>
              <w:t>Generalization warning: mean training accuracy is 85.0% versus 44.6% held-out accuracy—a 40.5-point gap. The small single-city sample, assessment-value proxy, random rather than temporal validation, and lack of external testing prevent operational use.</w:t>
            </w:r>
          </w:p>
        </w:tc>
      </w:tr>
    </w:tbl>
    <w:tbl>
      <w:tblPr>
        <w:tblW w:type="auto" w:w="0"/>
        <w:tblLook w:firstColumn="1" w:firstRow="1" w:lastColumn="0" w:lastRow="0" w:noHBand="0" w:noVBand="1" w:val="04A0"/>
      </w:tblPr>
      <w:tblGrid>
        <w:gridCol w:w="5285"/>
        <w:gridCol w:w="5285"/>
      </w:tblGrid>
      <w:tr>
        <w:tc>
          <w:tcPr>
            <w:tcW w:type="dxa" w:w="5285"/>
          </w:tcPr>
          <w:p>
            <w:r>
              <w:rPr>
                <w:b/>
                <w:color w:val="CC0633"/>
              </w:rPr>
              <w:t>Risk mitigation already used</w:t>
            </w:r>
          </w:p>
          <w:p>
            <w:pPr>
              <w:pStyle w:val="ListBullet"/>
              <w:spacing w:after="40"/>
              <w:ind w:left="259" w:hanging="173"/>
            </w:pPr>
            <w:r>
              <w:t>Outcome columns excluded from inputs.</w:t>
            </w:r>
          </w:p>
          <w:p>
            <w:pPr>
              <w:pStyle w:val="ListBullet"/>
              <w:spacing w:after="40"/>
              <w:ind w:left="259" w:hanging="173"/>
            </w:pPr>
            <w:r>
              <w:t>Every test row is real and held out.</w:t>
            </w:r>
          </w:p>
          <w:p>
            <w:pPr>
              <w:pStyle w:val="ListBullet"/>
              <w:spacing w:after="40"/>
              <w:ind w:left="259" w:hanging="173"/>
            </w:pPr>
            <w:r>
              <w:t>Fixed seeds, baseline comparison, and class-sensitive metrics.</w:t>
            </w:r>
          </w:p>
          <w:p>
            <w:pPr>
              <w:pStyle w:val="ListBullet"/>
              <w:spacing w:after="40"/>
              <w:ind w:left="259" w:hanging="173"/>
            </w:pPr>
            <w:r>
              <w:t>Severe ordered errors reported explicitly.</w:t>
            </w:r>
          </w:p>
        </w:tc>
        <w:tc>
          <w:tcPr>
            <w:tcW w:type="dxa" w:w="5285"/>
          </w:tcPr>
          <w:p>
            <w:r>
              <w:rPr>
                <w:b/>
                <w:color w:val="CC0633"/>
              </w:rPr>
              <w:t>Recommended next iteration</w:t>
            </w:r>
          </w:p>
          <w:p>
            <w:pPr>
              <w:pStyle w:val="ListBullet"/>
              <w:spacing w:after="40"/>
              <w:ind w:left="259" w:hanging="173"/>
            </w:pPr>
            <w:r>
              <w:t>Audit matching, thresholds, units, and outliers.</w:t>
            </w:r>
          </w:p>
          <w:p>
            <w:pPr>
              <w:pStyle w:val="ListBullet"/>
              <w:spacing w:after="40"/>
              <w:ind w:left="259" w:hanging="173"/>
            </w:pPr>
            <w:r>
              <w:t>Collect more real data and reserve a later-year/external test set.</w:t>
            </w:r>
          </w:p>
          <w:p>
            <w:pPr>
              <w:pStyle w:val="ListBullet"/>
              <w:spacing w:after="40"/>
              <w:ind w:left="259" w:hanging="173"/>
            </w:pPr>
            <w:r>
              <w:t>Tune inside nested validation and calibrate probabilities.</w:t>
            </w:r>
          </w:p>
          <w:p>
            <w:pPr>
              <w:pStyle w:val="ListBullet"/>
              <w:spacing w:after="40"/>
              <w:ind w:left="259" w:hanging="173"/>
            </w:pPr>
            <w:r>
              <w:t>Validate synthetic distributions before reuse.</w:t>
            </w:r>
          </w:p>
        </w:tc>
      </w:tr>
    </w:tbl>
    <w:p>
      <w:r>
        <w:br w:type="page"/>
      </w:r>
    </w:p>
    <w:p>
      <w:pPr>
        <w:pStyle w:val="Heading1"/>
      </w:pPr>
      <w:r>
        <w:t>2. Feature table</w:t>
      </w:r>
    </w:p>
    <w:p>
      <w:r>
        <w:t>Completeness follows the rubric’s 0–5 scale. Author cells list contributors responsible for substantial repository implementation of the submitted component.</w:t>
      </w:r>
    </w:p>
    <w:tbl>
      <w:tblPr>
        <w:tblW w:type="auto" w:w="0"/>
        <w:jc w:val="center"/>
        <w:tblLayout w:type="autofit"/>
        <w:tblLook w:firstColumn="1" w:firstRow="1" w:lastColumn="0" w:lastRow="0" w:noHBand="0" w:noVBand="1" w:val="04A0"/>
        <w:tblBorders>
          <w:top w:val="single" w:sz="6" w:color="C9CDD1"/>
          <w:left w:val="single" w:sz="6" w:color="C9CDD1"/>
          <w:bottom w:val="single" w:sz="6" w:color="C9CDD1"/>
          <w:right w:val="single" w:sz="6" w:color="C9CDD1"/>
          <w:insideH w:val="single" w:sz="6" w:color="C9CDD1"/>
          <w:insideV w:val="single" w:sz="6" w:color="C9CDD1"/>
        </w:tblBorders>
      </w:tblPr>
      <w:tblGrid>
        <w:gridCol w:w="1762"/>
        <w:gridCol w:w="1762"/>
        <w:gridCol w:w="1762"/>
        <w:gridCol w:w="1762"/>
        <w:gridCol w:w="1762"/>
        <w:gridCol w:w="1762"/>
      </w:tblGrid>
      <w:tr>
        <w:trPr>
          <w:tblHeader w:val="true"/>
        </w:trPr>
        <w:tc>
          <w:tcPr>
            <w:tcW w:type="dxa" w:w="1762"/>
            <w:shd w:fill="343A40"/>
            <w:tcMar>
              <w:top w:w="60" w:type="dxa"/>
              <w:start w:w="70" w:type="dxa"/>
              <w:bottom w:w="60" w:type="dxa"/>
              <w:end w:w="70" w:type="dxa"/>
            </w:tcMar>
          </w:tcPr>
          <w:p>
            <w:pPr>
              <w:spacing w:after="0"/>
            </w:pPr>
            <w:r>
              <w:rPr>
                <w:b/>
                <w:color w:val="FFFFFF"/>
                <w:sz w:val="13"/>
              </w:rPr>
              <w:t>Description</w:t>
            </w:r>
          </w:p>
        </w:tc>
        <w:tc>
          <w:tcPr>
            <w:tcW w:type="dxa" w:w="1762"/>
            <w:shd w:fill="343A40"/>
            <w:tcMar>
              <w:top w:w="60" w:type="dxa"/>
              <w:start w:w="70" w:type="dxa"/>
              <w:bottom w:w="60" w:type="dxa"/>
              <w:end w:w="70" w:type="dxa"/>
            </w:tcMar>
          </w:tcPr>
          <w:p>
            <w:pPr>
              <w:spacing w:after="0"/>
            </w:pPr>
            <w:r>
              <w:rPr>
                <w:b/>
                <w:color w:val="FFFFFF"/>
                <w:sz w:val="13"/>
              </w:rPr>
              <w:t>Platform</w:t>
            </w:r>
          </w:p>
        </w:tc>
        <w:tc>
          <w:tcPr>
            <w:tcW w:type="dxa" w:w="1762"/>
            <w:shd w:fill="343A40"/>
            <w:tcMar>
              <w:top w:w="60" w:type="dxa"/>
              <w:start w:w="70" w:type="dxa"/>
              <w:bottom w:w="60" w:type="dxa"/>
              <w:end w:w="70" w:type="dxa"/>
            </w:tcMar>
          </w:tcPr>
          <w:p>
            <w:pPr>
              <w:spacing w:after="0"/>
            </w:pPr>
            <w:r>
              <w:rPr>
                <w:b/>
                <w:color w:val="FFFFFF"/>
                <w:sz w:val="13"/>
              </w:rPr>
              <w:t>Complete</w:t>
            </w:r>
          </w:p>
        </w:tc>
        <w:tc>
          <w:tcPr>
            <w:tcW w:type="dxa" w:w="1762"/>
            <w:shd w:fill="343A40"/>
            <w:tcMar>
              <w:top w:w="60" w:type="dxa"/>
              <w:start w:w="70" w:type="dxa"/>
              <w:bottom w:w="60" w:type="dxa"/>
              <w:end w:w="70" w:type="dxa"/>
            </w:tcMar>
          </w:tcPr>
          <w:p>
            <w:pPr>
              <w:spacing w:after="0"/>
            </w:pPr>
            <w:r>
              <w:rPr>
                <w:b/>
                <w:color w:val="FFFFFF"/>
                <w:sz w:val="13"/>
              </w:rPr>
              <w:t>Code</w:t>
            </w:r>
          </w:p>
        </w:tc>
        <w:tc>
          <w:tcPr>
            <w:tcW w:type="dxa" w:w="1762"/>
            <w:shd w:fill="343A40"/>
            <w:tcMar>
              <w:top w:w="60" w:type="dxa"/>
              <w:start w:w="70" w:type="dxa"/>
              <w:bottom w:w="60" w:type="dxa"/>
              <w:end w:w="70" w:type="dxa"/>
            </w:tcMar>
          </w:tcPr>
          <w:p>
            <w:pPr>
              <w:spacing w:after="0"/>
            </w:pPr>
            <w:r>
              <w:rPr>
                <w:b/>
                <w:color w:val="FFFFFF"/>
                <w:sz w:val="13"/>
              </w:rPr>
              <w:t>Author(s)</w:t>
            </w:r>
          </w:p>
        </w:tc>
        <w:tc>
          <w:tcPr>
            <w:tcW w:type="dxa" w:w="1762"/>
            <w:shd w:fill="343A40"/>
            <w:tcMar>
              <w:top w:w="60" w:type="dxa"/>
              <w:start w:w="70" w:type="dxa"/>
              <w:bottom w:w="60" w:type="dxa"/>
              <w:end w:w="70" w:type="dxa"/>
            </w:tcMar>
          </w:tcPr>
          <w:p>
            <w:pPr>
              <w:spacing w:after="0"/>
            </w:pPr>
            <w:r>
              <w:rPr>
                <w:b/>
                <w:color w:val="FFFFFF"/>
                <w:sz w:val="13"/>
              </w:rPr>
              <w:t>Notes</w:t>
            </w:r>
          </w:p>
        </w:tc>
      </w:tr>
      <w:tr>
        <w:tc>
          <w:tcPr>
            <w:tcW w:type="dxa" w:w="1762"/>
            <w:vAlign w:val="top"/>
            <w:tcMar>
              <w:top w:w="60" w:type="dxa"/>
              <w:start w:w="70" w:type="dxa"/>
              <w:bottom w:w="60" w:type="dxa"/>
              <w:end w:w="70" w:type="dxa"/>
            </w:tcMar>
          </w:tcPr>
          <w:p>
            <w:pPr>
              <w:spacing w:after="0"/>
            </w:pPr>
            <w:r>
              <w:rPr>
                <w:sz w:val="13"/>
              </w:rPr>
              <w:t>Prepare final Calgary modeling table</w:t>
            </w:r>
          </w:p>
        </w:tc>
        <w:tc>
          <w:tcPr>
            <w:tcW w:type="dxa" w:w="1762"/>
            <w:vAlign w:val="top"/>
            <w:tcMar>
              <w:top w:w="60" w:type="dxa"/>
              <w:start w:w="70" w:type="dxa"/>
              <w:bottom w:w="60" w:type="dxa"/>
              <w:end w:w="70" w:type="dxa"/>
            </w:tcMar>
          </w:tcPr>
          <w:p>
            <w:pPr>
              <w:spacing w:after="0"/>
            </w:pPr>
            <w:r>
              <w:rPr>
                <w:sz w:val="13"/>
              </w:rPr>
              <w:t>Local</w:t>
            </w:r>
          </w:p>
        </w:tc>
        <w:tc>
          <w:tcPr>
            <w:tcW w:type="dxa" w:w="1762"/>
            <w:vAlign w:val="top"/>
            <w:tcMar>
              <w:top w:w="60" w:type="dxa"/>
              <w:start w:w="70" w:type="dxa"/>
              <w:bottom w:w="60" w:type="dxa"/>
              <w:end w:w="70" w:type="dxa"/>
            </w:tcMar>
          </w:tcPr>
          <w:p>
            <w:pPr>
              <w:spacing w:after="0"/>
            </w:pPr>
            <w:r>
              <w:rPr>
                <w:sz w:val="13"/>
              </w:rPr>
              <w:t>4/5</w:t>
            </w:r>
          </w:p>
        </w:tc>
        <w:tc>
          <w:tcPr>
            <w:tcW w:type="dxa" w:w="1762"/>
            <w:vAlign w:val="top"/>
            <w:tcMar>
              <w:top w:w="60" w:type="dxa"/>
              <w:start w:w="70" w:type="dxa"/>
              <w:bottom w:w="60" w:type="dxa"/>
              <w:end w:w="70" w:type="dxa"/>
            </w:tcMar>
          </w:tcPr>
          <w:p>
            <w:pPr>
              <w:spacing w:after="0"/>
            </w:pPr>
            <w:r>
              <w:rPr>
                <w:sz w:val="13"/>
              </w:rPr>
              <w:t>Python</w:t>
            </w:r>
          </w:p>
        </w:tc>
        <w:tc>
          <w:tcPr>
            <w:tcW w:type="dxa" w:w="1762"/>
            <w:vAlign w:val="top"/>
            <w:tcMar>
              <w:top w:w="60" w:type="dxa"/>
              <w:start w:w="70" w:type="dxa"/>
              <w:bottom w:w="60" w:type="dxa"/>
              <w:end w:w="70" w:type="dxa"/>
            </w:tcMar>
          </w:tcPr>
          <w:p>
            <w:pPr>
              <w:spacing w:after="0"/>
            </w:pPr>
            <w:r>
              <w:rPr>
                <w:sz w:val="13"/>
              </w:rPr>
              <w:t>Finley Thomson</w:t>
            </w:r>
          </w:p>
        </w:tc>
        <w:tc>
          <w:tcPr>
            <w:tcW w:type="dxa" w:w="1762"/>
            <w:vAlign w:val="top"/>
            <w:tcMar>
              <w:top w:w="60" w:type="dxa"/>
              <w:start w:w="70" w:type="dxa"/>
              <w:bottom w:w="60" w:type="dxa"/>
              <w:end w:w="70" w:type="dxa"/>
            </w:tcMar>
          </w:tcPr>
          <w:p>
            <w:pPr>
              <w:spacing w:after="0"/>
            </w:pPr>
            <w:r>
              <w:rPr>
                <w:sz w:val="13"/>
              </w:rPr>
              <w:t>224-row CSV is validated for model inputs; raw preparation involved manual historical steps.</w:t>
            </w:r>
          </w:p>
        </w:tc>
      </w:tr>
      <w:tr>
        <w:tc>
          <w:tcPr>
            <w:tcW w:type="dxa" w:w="1762"/>
            <w:shd w:fill="F4F5F6"/>
            <w:vAlign w:val="top"/>
            <w:tcMar>
              <w:top w:w="60" w:type="dxa"/>
              <w:start w:w="70" w:type="dxa"/>
              <w:bottom w:w="60" w:type="dxa"/>
              <w:end w:w="70" w:type="dxa"/>
            </w:tcMar>
          </w:tcPr>
          <w:p>
            <w:pPr>
              <w:spacing w:after="0"/>
            </w:pPr>
            <w:r>
              <w:rPr>
                <w:sz w:val="13"/>
              </w:rPr>
              <w:t>Generate fold-local synthetic records</w:t>
            </w:r>
          </w:p>
        </w:tc>
        <w:tc>
          <w:tcPr>
            <w:tcW w:type="dxa" w:w="1762"/>
            <w:shd w:fill="F4F5F6"/>
            <w:vAlign w:val="top"/>
            <w:tcMar>
              <w:top w:w="60" w:type="dxa"/>
              <w:start w:w="70" w:type="dxa"/>
              <w:bottom w:w="60" w:type="dxa"/>
              <w:end w:w="70" w:type="dxa"/>
            </w:tcMar>
          </w:tcPr>
          <w:p>
            <w:pPr>
              <w:spacing w:after="0"/>
            </w:pPr>
            <w:r>
              <w:rPr>
                <w:sz w:val="13"/>
              </w:rPr>
              <w:t>Local</w:t>
            </w:r>
          </w:p>
        </w:tc>
        <w:tc>
          <w:tcPr>
            <w:tcW w:type="dxa" w:w="1762"/>
            <w:shd w:fill="F4F5F6"/>
            <w:vAlign w:val="top"/>
            <w:tcMar>
              <w:top w:w="60" w:type="dxa"/>
              <w:start w:w="70" w:type="dxa"/>
              <w:bottom w:w="60" w:type="dxa"/>
              <w:end w:w="70" w:type="dxa"/>
            </w:tcMar>
          </w:tcPr>
          <w:p>
            <w:pPr>
              <w:spacing w:after="0"/>
            </w:pPr>
            <w:r>
              <w:rPr>
                <w:sz w:val="13"/>
              </w:rPr>
              <w:t>4/5</w:t>
            </w:r>
          </w:p>
        </w:tc>
        <w:tc>
          <w:tcPr>
            <w:tcW w:type="dxa" w:w="1762"/>
            <w:shd w:fill="F4F5F6"/>
            <w:vAlign w:val="top"/>
            <w:tcMar>
              <w:top w:w="60" w:type="dxa"/>
              <w:start w:w="70" w:type="dxa"/>
              <w:bottom w:w="60" w:type="dxa"/>
              <w:end w:w="70" w:type="dxa"/>
            </w:tcMar>
          </w:tcPr>
          <w:p>
            <w:pPr>
              <w:spacing w:after="0"/>
            </w:pPr>
            <w:r>
              <w:rPr>
                <w:sz w:val="13"/>
              </w:rPr>
              <w:t>Python</w:t>
            </w:r>
          </w:p>
        </w:tc>
        <w:tc>
          <w:tcPr>
            <w:tcW w:type="dxa" w:w="1762"/>
            <w:shd w:fill="F4F5F6"/>
            <w:vAlign w:val="top"/>
            <w:tcMar>
              <w:top w:w="60" w:type="dxa"/>
              <w:start w:w="70" w:type="dxa"/>
              <w:bottom w:w="60" w:type="dxa"/>
              <w:end w:w="70" w:type="dxa"/>
            </w:tcMar>
          </w:tcPr>
          <w:p>
            <w:pPr>
              <w:spacing w:after="0"/>
            </w:pPr>
            <w:r>
              <w:rPr>
                <w:sz w:val="13"/>
              </w:rPr>
              <w:t>Finley Thomson; Jarrod Hwang</w:t>
            </w:r>
          </w:p>
        </w:tc>
        <w:tc>
          <w:tcPr>
            <w:tcW w:type="dxa" w:w="1762"/>
            <w:shd w:fill="F4F5F6"/>
            <w:vAlign w:val="top"/>
            <w:tcMar>
              <w:top w:w="60" w:type="dxa"/>
              <w:start w:w="70" w:type="dxa"/>
              <w:bottom w:w="60" w:type="dxa"/>
              <w:end w:w="70" w:type="dxa"/>
            </w:tcMar>
          </w:tcPr>
          <w:p>
            <w:pPr>
              <w:spacing w:after="0"/>
            </w:pPr>
            <w:r>
              <w:rPr>
                <w:sz w:val="13"/>
              </w:rPr>
              <w:t>Seeded and integrated. Training-fold isolation prevents direct test leakage; augmentation reduced performance.</w:t>
            </w:r>
          </w:p>
        </w:tc>
      </w:tr>
      <w:tr>
        <w:tc>
          <w:tcPr>
            <w:tcW w:type="dxa" w:w="1762"/>
            <w:vAlign w:val="top"/>
            <w:tcMar>
              <w:top w:w="60" w:type="dxa"/>
              <w:start w:w="70" w:type="dxa"/>
              <w:bottom w:w="60" w:type="dxa"/>
              <w:end w:w="70" w:type="dxa"/>
            </w:tcMar>
          </w:tcPr>
          <w:p>
            <w:pPr>
              <w:spacing w:after="0"/>
            </w:pPr>
            <w:r>
              <w:rPr>
                <w:sz w:val="13"/>
              </w:rPr>
              <w:t>Implement custom tree and forest</w:t>
            </w:r>
          </w:p>
        </w:tc>
        <w:tc>
          <w:tcPr>
            <w:tcW w:type="dxa" w:w="1762"/>
            <w:vAlign w:val="top"/>
            <w:tcMar>
              <w:top w:w="60" w:type="dxa"/>
              <w:start w:w="70" w:type="dxa"/>
              <w:bottom w:w="60" w:type="dxa"/>
              <w:end w:w="70" w:type="dxa"/>
            </w:tcMar>
          </w:tcPr>
          <w:p>
            <w:pPr>
              <w:spacing w:after="0"/>
            </w:pPr>
            <w:r>
              <w:rPr>
                <w:sz w:val="13"/>
              </w:rPr>
              <w:t>Local</w:t>
            </w:r>
          </w:p>
        </w:tc>
        <w:tc>
          <w:tcPr>
            <w:tcW w:type="dxa" w:w="1762"/>
            <w:vAlign w:val="top"/>
            <w:tcMar>
              <w:top w:w="60" w:type="dxa"/>
              <w:start w:w="70" w:type="dxa"/>
              <w:bottom w:w="60" w:type="dxa"/>
              <w:end w:w="70" w:type="dxa"/>
            </w:tcMar>
          </w:tcPr>
          <w:p>
            <w:pPr>
              <w:spacing w:after="0"/>
            </w:pPr>
            <w:r>
              <w:rPr>
                <w:sz w:val="13"/>
              </w:rPr>
              <w:t>4/5</w:t>
            </w:r>
          </w:p>
        </w:tc>
        <w:tc>
          <w:tcPr>
            <w:tcW w:type="dxa" w:w="1762"/>
            <w:vAlign w:val="top"/>
            <w:tcMar>
              <w:top w:w="60" w:type="dxa"/>
              <w:start w:w="70" w:type="dxa"/>
              <w:bottom w:w="60" w:type="dxa"/>
              <w:end w:w="70" w:type="dxa"/>
            </w:tcMar>
          </w:tcPr>
          <w:p>
            <w:pPr>
              <w:spacing w:after="0"/>
            </w:pPr>
            <w:r>
              <w:rPr>
                <w:sz w:val="13"/>
              </w:rPr>
              <w:t>Python</w:t>
            </w:r>
          </w:p>
        </w:tc>
        <w:tc>
          <w:tcPr>
            <w:tcW w:type="dxa" w:w="1762"/>
            <w:vAlign w:val="top"/>
            <w:tcMar>
              <w:top w:w="60" w:type="dxa"/>
              <w:start w:w="70" w:type="dxa"/>
              <w:bottom w:w="60" w:type="dxa"/>
              <w:end w:w="70" w:type="dxa"/>
            </w:tcMar>
          </w:tcPr>
          <w:p>
            <w:pPr>
              <w:spacing w:after="0"/>
            </w:pPr>
            <w:r>
              <w:rPr>
                <w:sz w:val="13"/>
              </w:rPr>
              <w:t>Finley Thomson; Jarrod Hwang</w:t>
            </w:r>
          </w:p>
        </w:tc>
        <w:tc>
          <w:tcPr>
            <w:tcW w:type="dxa" w:w="1762"/>
            <w:vAlign w:val="top"/>
            <w:tcMar>
              <w:top w:w="60" w:type="dxa"/>
              <w:start w:w="70" w:type="dxa"/>
              <w:bottom w:w="60" w:type="dxa"/>
              <w:end w:w="70" w:type="dxa"/>
            </w:tcMar>
          </w:tcPr>
          <w:p>
            <w:pPr>
              <w:spacing w:after="0"/>
            </w:pPr>
            <w:r>
              <w:rPr>
                <w:sz w:val="13"/>
              </w:rPr>
              <w:t>Working and reproducible; slower than scikit-learn and has limited boundary coverage.</w:t>
            </w:r>
          </w:p>
        </w:tc>
      </w:tr>
      <w:tr>
        <w:tc>
          <w:tcPr>
            <w:tcW w:type="dxa" w:w="1762"/>
            <w:shd w:fill="F4F5F6"/>
            <w:vAlign w:val="top"/>
            <w:tcMar>
              <w:top w:w="60" w:type="dxa"/>
              <w:start w:w="70" w:type="dxa"/>
              <w:bottom w:w="60" w:type="dxa"/>
              <w:end w:w="70" w:type="dxa"/>
            </w:tcMar>
          </w:tcPr>
          <w:p>
            <w:pPr>
              <w:spacing w:after="0"/>
            </w:pPr>
            <w:r>
              <w:rPr>
                <w:sz w:val="13"/>
              </w:rPr>
              <w:t>Leakage-safe stratified CV</w:t>
            </w:r>
          </w:p>
        </w:tc>
        <w:tc>
          <w:tcPr>
            <w:tcW w:type="dxa" w:w="1762"/>
            <w:shd w:fill="F4F5F6"/>
            <w:vAlign w:val="top"/>
            <w:tcMar>
              <w:top w:w="60" w:type="dxa"/>
              <w:start w:w="70" w:type="dxa"/>
              <w:bottom w:w="60" w:type="dxa"/>
              <w:end w:w="70" w:type="dxa"/>
            </w:tcMar>
          </w:tcPr>
          <w:p>
            <w:pPr>
              <w:spacing w:after="0"/>
            </w:pPr>
            <w:r>
              <w:rPr>
                <w:sz w:val="13"/>
              </w:rPr>
              <w:t>Local</w:t>
            </w:r>
          </w:p>
        </w:tc>
        <w:tc>
          <w:tcPr>
            <w:tcW w:type="dxa" w:w="1762"/>
            <w:shd w:fill="F4F5F6"/>
            <w:vAlign w:val="top"/>
            <w:tcMar>
              <w:top w:w="60" w:type="dxa"/>
              <w:start w:w="70" w:type="dxa"/>
              <w:bottom w:w="60" w:type="dxa"/>
              <w:end w:w="70" w:type="dxa"/>
            </w:tcMar>
          </w:tcPr>
          <w:p>
            <w:pPr>
              <w:spacing w:after="0"/>
            </w:pPr>
            <w:r>
              <w:rPr>
                <w:sz w:val="13"/>
              </w:rPr>
              <w:t>5/5</w:t>
            </w:r>
          </w:p>
        </w:tc>
        <w:tc>
          <w:tcPr>
            <w:tcW w:type="dxa" w:w="1762"/>
            <w:shd w:fill="F4F5F6"/>
            <w:vAlign w:val="top"/>
            <w:tcMar>
              <w:top w:w="60" w:type="dxa"/>
              <w:start w:w="70" w:type="dxa"/>
              <w:bottom w:w="60" w:type="dxa"/>
              <w:end w:w="70" w:type="dxa"/>
            </w:tcMar>
          </w:tcPr>
          <w:p>
            <w:pPr>
              <w:spacing w:after="0"/>
            </w:pPr>
            <w:r>
              <w:rPr>
                <w:sz w:val="13"/>
              </w:rPr>
              <w:t>Python</w:t>
            </w:r>
          </w:p>
        </w:tc>
        <w:tc>
          <w:tcPr>
            <w:tcW w:type="dxa" w:w="1762"/>
            <w:shd w:fill="F4F5F6"/>
            <w:vAlign w:val="top"/>
            <w:tcMar>
              <w:top w:w="60" w:type="dxa"/>
              <w:start w:w="70" w:type="dxa"/>
              <w:bottom w:w="60" w:type="dxa"/>
              <w:end w:w="70" w:type="dxa"/>
            </w:tcMar>
          </w:tcPr>
          <w:p>
            <w:pPr>
              <w:spacing w:after="0"/>
            </w:pPr>
            <w:r>
              <w:rPr>
                <w:sz w:val="13"/>
              </w:rPr>
              <w:t>Finley Thomson; Jarrod Hwang</w:t>
            </w:r>
          </w:p>
        </w:tc>
        <w:tc>
          <w:tcPr>
            <w:tcW w:type="dxa" w:w="1762"/>
            <w:shd w:fill="F4F5F6"/>
            <w:vAlign w:val="top"/>
            <w:tcMar>
              <w:top w:w="60" w:type="dxa"/>
              <w:start w:w="70" w:type="dxa"/>
              <w:bottom w:w="60" w:type="dxa"/>
              <w:end w:w="70" w:type="dxa"/>
            </w:tcMar>
          </w:tcPr>
          <w:p>
            <w:pPr>
              <w:spacing w:after="0"/>
            </w:pPr>
            <w:r>
              <w:rPr>
                <w:sz w:val="13"/>
              </w:rPr>
              <w:t>Five folds, real held-out evidence, fold-local generation, and deterministic configuration.</w:t>
            </w:r>
          </w:p>
        </w:tc>
      </w:tr>
      <w:tr>
        <w:tc>
          <w:tcPr>
            <w:tcW w:type="dxa" w:w="1762"/>
            <w:vAlign w:val="top"/>
            <w:tcMar>
              <w:top w:w="60" w:type="dxa"/>
              <w:start w:w="70" w:type="dxa"/>
              <w:bottom w:w="60" w:type="dxa"/>
              <w:end w:w="70" w:type="dxa"/>
            </w:tcMar>
          </w:tcPr>
          <w:p>
            <w:pPr>
              <w:spacing w:after="0"/>
            </w:pPr>
            <w:r>
              <w:rPr>
                <w:sz w:val="13"/>
              </w:rPr>
              <w:t>Compare baseline and sklearn RF</w:t>
            </w:r>
          </w:p>
        </w:tc>
        <w:tc>
          <w:tcPr>
            <w:tcW w:type="dxa" w:w="1762"/>
            <w:vAlign w:val="top"/>
            <w:tcMar>
              <w:top w:w="60" w:type="dxa"/>
              <w:start w:w="70" w:type="dxa"/>
              <w:bottom w:w="60" w:type="dxa"/>
              <w:end w:w="70" w:type="dxa"/>
            </w:tcMar>
          </w:tcPr>
          <w:p>
            <w:pPr>
              <w:spacing w:after="0"/>
            </w:pPr>
            <w:r>
              <w:rPr>
                <w:sz w:val="13"/>
              </w:rPr>
              <w:t>Local</w:t>
            </w:r>
          </w:p>
        </w:tc>
        <w:tc>
          <w:tcPr>
            <w:tcW w:type="dxa" w:w="1762"/>
            <w:vAlign w:val="top"/>
            <w:tcMar>
              <w:top w:w="60" w:type="dxa"/>
              <w:start w:w="70" w:type="dxa"/>
              <w:bottom w:w="60" w:type="dxa"/>
              <w:end w:w="70" w:type="dxa"/>
            </w:tcMar>
          </w:tcPr>
          <w:p>
            <w:pPr>
              <w:spacing w:after="0"/>
            </w:pPr>
            <w:r>
              <w:rPr>
                <w:sz w:val="13"/>
              </w:rPr>
              <w:t>5/5</w:t>
            </w:r>
          </w:p>
        </w:tc>
        <w:tc>
          <w:tcPr>
            <w:tcW w:type="dxa" w:w="1762"/>
            <w:vAlign w:val="top"/>
            <w:tcMar>
              <w:top w:w="60" w:type="dxa"/>
              <w:start w:w="70" w:type="dxa"/>
              <w:bottom w:w="60" w:type="dxa"/>
              <w:end w:w="70" w:type="dxa"/>
            </w:tcMar>
          </w:tcPr>
          <w:p>
            <w:pPr>
              <w:spacing w:after="0"/>
            </w:pPr>
            <w:r>
              <w:rPr>
                <w:sz w:val="13"/>
              </w:rPr>
              <w:t>Python</w:t>
            </w:r>
          </w:p>
        </w:tc>
        <w:tc>
          <w:tcPr>
            <w:tcW w:type="dxa" w:w="1762"/>
            <w:vAlign w:val="top"/>
            <w:tcMar>
              <w:top w:w="60" w:type="dxa"/>
              <w:start w:w="70" w:type="dxa"/>
              <w:bottom w:w="60" w:type="dxa"/>
              <w:end w:w="70" w:type="dxa"/>
            </w:tcMar>
          </w:tcPr>
          <w:p>
            <w:pPr>
              <w:spacing w:after="0"/>
            </w:pPr>
            <w:r>
              <w:rPr>
                <w:sz w:val="13"/>
              </w:rPr>
              <w:t>Jarrod Hwang</w:t>
            </w:r>
          </w:p>
        </w:tc>
        <w:tc>
          <w:tcPr>
            <w:tcW w:type="dxa" w:w="1762"/>
            <w:vAlign w:val="top"/>
            <w:tcMar>
              <w:top w:w="60" w:type="dxa"/>
              <w:start w:w="70" w:type="dxa"/>
              <w:bottom w:w="60" w:type="dxa"/>
              <w:end w:w="70" w:type="dxa"/>
            </w:tcMar>
          </w:tcPr>
          <w:p>
            <w:pPr>
              <w:spacing w:after="0"/>
            </w:pPr>
            <w:r>
              <w:rPr>
                <w:sz w:val="13"/>
              </w:rPr>
              <w:t>Canonical CLI reports accuracy, macro-F1, ordinal error, and severe errors.</w:t>
            </w:r>
          </w:p>
        </w:tc>
      </w:tr>
      <w:tr>
        <w:tc>
          <w:tcPr>
            <w:tcW w:type="dxa" w:w="1762"/>
            <w:shd w:fill="F4F5F6"/>
            <w:vAlign w:val="top"/>
            <w:tcMar>
              <w:top w:w="60" w:type="dxa"/>
              <w:start w:w="70" w:type="dxa"/>
              <w:bottom w:w="60" w:type="dxa"/>
              <w:end w:w="70" w:type="dxa"/>
            </w:tcMar>
          </w:tcPr>
          <w:p>
            <w:pPr>
              <w:spacing w:after="0"/>
            </w:pPr>
            <w:r>
              <w:rPr>
                <w:sz w:val="13"/>
              </w:rPr>
              <w:t>Export evaluation evidence</w:t>
            </w:r>
          </w:p>
        </w:tc>
        <w:tc>
          <w:tcPr>
            <w:tcW w:type="dxa" w:w="1762"/>
            <w:shd w:fill="F4F5F6"/>
            <w:vAlign w:val="top"/>
            <w:tcMar>
              <w:top w:w="60" w:type="dxa"/>
              <w:start w:w="70" w:type="dxa"/>
              <w:bottom w:w="60" w:type="dxa"/>
              <w:end w:w="70" w:type="dxa"/>
            </w:tcMar>
          </w:tcPr>
          <w:p>
            <w:pPr>
              <w:spacing w:after="0"/>
            </w:pPr>
            <w:r>
              <w:rPr>
                <w:sz w:val="13"/>
              </w:rPr>
              <w:t>Local</w:t>
            </w:r>
          </w:p>
        </w:tc>
        <w:tc>
          <w:tcPr>
            <w:tcW w:type="dxa" w:w="1762"/>
            <w:shd w:fill="F4F5F6"/>
            <w:vAlign w:val="top"/>
            <w:tcMar>
              <w:top w:w="60" w:type="dxa"/>
              <w:start w:w="70" w:type="dxa"/>
              <w:bottom w:w="60" w:type="dxa"/>
              <w:end w:w="70" w:type="dxa"/>
            </w:tcMar>
          </w:tcPr>
          <w:p>
            <w:pPr>
              <w:spacing w:after="0"/>
            </w:pPr>
            <w:r>
              <w:rPr>
                <w:sz w:val="13"/>
              </w:rPr>
              <w:t>5/5</w:t>
            </w:r>
          </w:p>
        </w:tc>
        <w:tc>
          <w:tcPr>
            <w:tcW w:type="dxa" w:w="1762"/>
            <w:shd w:fill="F4F5F6"/>
            <w:vAlign w:val="top"/>
            <w:tcMar>
              <w:top w:w="60" w:type="dxa"/>
              <w:start w:w="70" w:type="dxa"/>
              <w:bottom w:w="60" w:type="dxa"/>
              <w:end w:w="70" w:type="dxa"/>
            </w:tcMar>
          </w:tcPr>
          <w:p>
            <w:pPr>
              <w:spacing w:after="0"/>
            </w:pPr>
            <w:r>
              <w:rPr>
                <w:sz w:val="13"/>
              </w:rPr>
              <w:t>Python</w:t>
            </w:r>
          </w:p>
        </w:tc>
        <w:tc>
          <w:tcPr>
            <w:tcW w:type="dxa" w:w="1762"/>
            <w:shd w:fill="F4F5F6"/>
            <w:vAlign w:val="top"/>
            <w:tcMar>
              <w:top w:w="60" w:type="dxa"/>
              <w:start w:w="70" w:type="dxa"/>
              <w:bottom w:w="60" w:type="dxa"/>
              <w:end w:w="70" w:type="dxa"/>
            </w:tcMar>
          </w:tcPr>
          <w:p>
            <w:pPr>
              <w:spacing w:after="0"/>
            </w:pPr>
            <w:r>
              <w:rPr>
                <w:sz w:val="13"/>
              </w:rPr>
              <w:t>Jarrod Hwang</w:t>
            </w:r>
          </w:p>
        </w:tc>
        <w:tc>
          <w:tcPr>
            <w:tcW w:type="dxa" w:w="1762"/>
            <w:shd w:fill="F4F5F6"/>
            <w:vAlign w:val="top"/>
            <w:tcMar>
              <w:top w:w="60" w:type="dxa"/>
              <w:start w:w="70" w:type="dxa"/>
              <w:bottom w:w="60" w:type="dxa"/>
              <w:end w:w="70" w:type="dxa"/>
            </w:tcMar>
          </w:tcPr>
          <w:p>
            <w:pPr>
              <w:spacing w:after="0"/>
            </w:pPr>
            <w:r>
              <w:rPr>
                <w:sz w:val="13"/>
              </w:rPr>
              <w:t>Produces JSON/CSV summaries, class/fold metrics, matrices, plots, hash, and manifest.</w:t>
            </w:r>
          </w:p>
        </w:tc>
      </w:tr>
    </w:tbl>
    <w:p>
      <w:pPr>
        <w:pStyle w:val="Heading2"/>
      </w:pPr>
      <w:r>
        <w:t>Completeness scale applied</w:t>
      </w:r>
    </w:p>
    <w:p>
      <w:pPr>
        <w:pStyle w:val="ListBullet"/>
        <w:spacing w:after="40"/>
        <w:ind w:left="259" w:hanging="173"/>
      </w:pPr>
      <w:r>
        <w:t>5 – Complete: working, tested, integrated, and clear for the submitted scope.</w:t>
      </w:r>
    </w:p>
    <w:p>
      <w:pPr>
        <w:pStyle w:val="ListBullet"/>
        <w:spacing w:after="40"/>
        <w:ind w:left="259" w:hanging="173"/>
      </w:pPr>
      <w:r>
        <w:t>4 – Working: integrated with minor coverage, polish, or reproducibility limits.</w:t>
      </w:r>
    </w:p>
    <w:p>
      <w:pPr>
        <w:pStyle w:val="ListBullet"/>
        <w:spacing w:after="40"/>
        <w:ind w:left="259" w:hanging="173"/>
      </w:pPr>
      <w:r>
        <w:t>3 – Partial: demonstrates the concept but needs manual or non-portable steps.</w:t>
      </w:r>
    </w:p>
    <w:p>
      <w:pPr>
        <w:pStyle w:val="ListBullet"/>
        <w:spacing w:after="40"/>
        <w:ind w:left="259" w:hanging="173"/>
      </w:pPr>
      <w:r>
        <w:t>2 or below: prototype, research, or unimplemented; not claimed as final.</w:t>
      </w:r>
    </w:p>
    <w:p>
      <w:pPr>
        <w:pStyle w:val="Heading2"/>
      </w:pPr>
      <w:r>
        <w:t>Submitted code organization</w:t>
      </w:r>
    </w:p>
    <w:tbl>
      <w:tblPr>
        <w:tblW w:type="auto" w:w="0"/>
        <w:tblLook w:firstColumn="1" w:firstRow="1" w:lastColumn="0" w:lastRow="0" w:noHBand="0" w:noVBand="1" w:val="04A0"/>
        <w:tblBorders>
          <w:top w:val="single" w:sz="6" w:color="C9CDD1"/>
          <w:left w:val="single" w:sz="6" w:color="C9CDD1"/>
          <w:bottom w:val="single" w:sz="6" w:color="C9CDD1"/>
          <w:right w:val="single" w:sz="6" w:color="C9CDD1"/>
          <w:insideH w:val="single" w:sz="6" w:color="C9CDD1"/>
          <w:insideV w:val="single" w:sz="6" w:color="C9CDD1"/>
        </w:tblBorders>
      </w:tblPr>
      <w:tblGrid>
        <w:gridCol w:w="10570"/>
      </w:tblGrid>
      <w:tr>
        <w:tc>
          <w:tcPr>
            <w:tcW w:type="dxa" w:w="10570"/>
            <w:shd w:fill="F4F5F6"/>
            <w:tcMar>
              <w:top w:w="65" w:type="dxa"/>
              <w:start w:w="90" w:type="dxa"/>
              <w:bottom w:w="65" w:type="dxa"/>
              <w:end w:w="90" w:type="dxa"/>
            </w:tcMar>
          </w:tcPr>
          <w:p>
            <w:pPr>
              <w:spacing w:after="0"/>
            </w:pPr>
            <w:r>
              <w:rPr>
                <w:rFonts w:ascii="Courier New" w:hAnsi="Courier New"/>
                <w:sz w:val="15"/>
              </w:rPr>
              <w:t>CMPT310_Group14_Code_Submission/</w:t>
              <w:br/>
              <w:t>├── Model/                 # evaluator, CV, metrics, custom tree/forest</w:t>
              <w:br/>
              <w:t>├── Data/Code/             # fold-local synthetic generator</w:t>
              <w:br/>
              <w:t>├── Data/CSVs/Sorted/      # final modeling table</w:t>
              <w:br/>
              <w:t>├── Artifacts/Milestone2/  # figures, CSV and JSON evidence</w:t>
              <w:br/>
              <w:t>├── tests/                 # deterministic checks</w:t>
              <w:br/>
              <w:t>├── requirements*.txt</w:t>
              <w:br/>
              <w:t>├── run_evaluation.sh / run_tests.sh</w:t>
              <w:br/>
              <w:t>└── README.md</w:t>
            </w:r>
          </w:p>
        </w:tc>
      </w:tr>
    </w:tbl>
    <w:p>
      <w:pPr>
        <w:pStyle w:val="Heading2"/>
      </w:pPr>
      <w:r>
        <w:t>Practical software-quality assessment</w:t>
      </w:r>
    </w:p>
    <w:tbl>
      <w:tblPr>
        <w:tblW w:type="auto" w:w="0"/>
        <w:tblLook w:firstColumn="1" w:firstRow="1" w:lastColumn="0" w:lastRow="0" w:noHBand="0" w:noVBand="1" w:val="04A0"/>
      </w:tblPr>
      <w:tblGrid>
        <w:gridCol w:w="3523"/>
        <w:gridCol w:w="3523"/>
        <w:gridCol w:w="3523"/>
      </w:tblGrid>
      <w:tr>
        <w:tc>
          <w:tcPr>
            <w:tcW w:type="dxa" w:w="3523"/>
            <w:shd w:fill="F4F5F6"/>
          </w:tcPr>
          <w:p>
            <w:r>
              <w:rPr>
                <w:b/>
                <w:color w:val="CC0633"/>
              </w:rPr>
              <w:t>Functional suitability</w:t>
              <w:br/>
            </w:r>
            <w:r>
              <w:rPr>
                <w:sz w:val="14"/>
              </w:rPr>
              <w:t>Evaluation, baseline, forests, metrics and artifacts work; no live inference UI is claimed.</w:t>
            </w:r>
          </w:p>
        </w:tc>
        <w:tc>
          <w:tcPr>
            <w:tcW w:type="dxa" w:w="3523"/>
            <w:shd w:fill="F4F5F6"/>
          </w:tcPr>
          <w:p>
            <w:r>
              <w:rPr>
                <w:b/>
                <w:color w:val="CC0633"/>
              </w:rPr>
              <w:t>Reliability</w:t>
              <w:br/>
            </w:r>
            <w:r>
              <w:rPr>
                <w:sz w:val="14"/>
              </w:rPr>
              <w:t>Fixed seeds and held-out evidence support repeatability; the small dataset creates high variance.</w:t>
            </w:r>
          </w:p>
        </w:tc>
        <w:tc>
          <w:tcPr>
            <w:tcW w:type="dxa" w:w="3523"/>
            <w:shd w:fill="F4F5F6"/>
          </w:tcPr>
          <w:p>
            <w:r>
              <w:rPr>
                <w:b/>
                <w:color w:val="CC0633"/>
              </w:rPr>
              <w:t>Performance</w:t>
              <w:br/>
            </w:r>
            <w:r>
              <w:rPr>
                <w:sz w:val="14"/>
              </w:rPr>
              <w:t>scikit-learn runs quickly; the custom implementation is deliberately opt-in.</w:t>
            </w:r>
          </w:p>
        </w:tc>
      </w:tr>
      <w:tr>
        <w:tc>
          <w:tcPr>
            <w:tcW w:type="dxa" w:w="3523"/>
            <w:shd w:fill="F4F5F6"/>
          </w:tcPr>
          <w:p>
            <w:r>
              <w:rPr>
                <w:b/>
                <w:color w:val="CC0633"/>
              </w:rPr>
              <w:t>Maintainability</w:t>
              <w:br/>
            </w:r>
            <w:r>
              <w:rPr>
                <w:sz w:val="14"/>
              </w:rPr>
              <w:t>Evaluation responsibilities are separated; raw preprocessing remains outside the clean run path.</w:t>
            </w:r>
          </w:p>
        </w:tc>
        <w:tc>
          <w:tcPr>
            <w:tcW w:type="dxa" w:w="3523"/>
            <w:shd w:fill="F4F5F6"/>
          </w:tcPr>
          <w:p>
            <w:r>
              <w:rPr>
                <w:b/>
                <w:color w:val="CC0633"/>
              </w:rPr>
              <w:t>Compatibility</w:t>
              <w:br/>
            </w:r>
            <w:r>
              <w:rPr>
                <w:sz w:val="14"/>
              </w:rPr>
              <w:t>Runs locally on Python 3.11+ from the included final CSV.</w:t>
            </w:r>
          </w:p>
        </w:tc>
        <w:tc>
          <w:tcPr>
            <w:tcW w:type="dxa" w:w="3523"/>
            <w:shd w:fill="F4F5F6"/>
          </w:tcPr>
          <w:p>
            <w:r>
              <w:rPr>
                <w:b/>
                <w:color w:val="CC0633"/>
              </w:rPr>
              <w:t>Security and usability</w:t>
              <w:br/>
            </w:r>
            <w:r>
              <w:rPr>
                <w:sz w:val="14"/>
              </w:rPr>
              <w:t>No credentials or student IDs are included; explicit warnings reduce financial risk.</w:t>
            </w:r>
          </w:p>
        </w:tc>
      </w:tr>
    </w:tbl>
    <w:p>
      <w:r>
        <w:br w:type="page"/>
      </w:r>
    </w:p>
    <w:p>
      <w:pPr>
        <w:pStyle w:val="Heading1"/>
      </w:pPr>
      <w:r>
        <w:t>3. External tools, libraries, and data</w:t>
      </w:r>
    </w:p>
    <w:tbl>
      <w:tblPr>
        <w:tblW w:type="auto" w:w="0"/>
        <w:tblLook w:firstColumn="1" w:firstRow="1" w:lastColumn="0" w:lastRow="0" w:noHBand="0" w:noVBand="1" w:val="04A0"/>
      </w:tblPr>
      <w:tblGrid>
        <w:gridCol w:w="5285"/>
        <w:gridCol w:w="5285"/>
      </w:tblGrid>
      <w:tr>
        <w:tc>
          <w:tcPr>
            <w:tcW w:type="dxa" w:w="5285"/>
          </w:tcPr>
          <w:p>
            <w:r>
              <w:rPr>
                <w:b/>
              </w:rPr>
              <w:t>Software used by the submitted run path</w:t>
            </w:r>
          </w:p>
          <w:tbl>
            <w:tblPr>
              <w:tblW w:type="auto" w:w="0"/>
              <w:tblLook w:firstColumn="1" w:firstRow="1" w:lastColumn="0" w:lastRow="0" w:noHBand="0" w:noVBand="1" w:val="04A0"/>
            </w:tblPr>
            <w:tblGrid>
              <w:gridCol w:w="2642"/>
              <w:gridCol w:w="2642"/>
            </w:tblGrid>
            <w:tr>
              <w:tc>
                <w:tcPr>
                  <w:tcW w:type="dxa" w:w="2642"/>
                  <w:shd w:fill="343A40"/>
                </w:tcPr>
                <w:p>
                  <w:r>
                    <w:rPr>
                      <w:b/>
                      <w:color w:val="FFFFFF"/>
                    </w:rPr>
                    <w:t>Tool</w:t>
                  </w:r>
                </w:p>
              </w:tc>
              <w:tc>
                <w:tcPr>
                  <w:tcW w:type="dxa" w:w="2642"/>
                  <w:shd w:fill="343A40"/>
                </w:tcPr>
                <w:p>
                  <w:r>
                    <w:rPr>
                      <w:b/>
                      <w:color w:val="FFFFFF"/>
                    </w:rPr>
                    <w:t>Purpose</w:t>
                  </w:r>
                </w:p>
              </w:tc>
            </w:tr>
            <w:tr>
              <w:tc>
                <w:tcPr>
                  <w:tcW w:type="dxa" w:w="2642"/>
                </w:tcPr>
                <w:p>
                  <w:r>
                    <w:rPr>
                      <w:sz w:val="14"/>
                    </w:rPr>
                    <w:t>Python 3.12.13</w:t>
                  </w:r>
                </w:p>
              </w:tc>
              <w:tc>
                <w:tcPr>
                  <w:tcW w:type="dxa" w:w="2642"/>
                </w:tcPr>
                <w:p>
                  <w:r>
                    <w:rPr>
                      <w:sz w:val="14"/>
                    </w:rPr>
                    <w:t>Tested runtime and CLI orchestration.</w:t>
                  </w:r>
                </w:p>
              </w:tc>
            </w:tr>
            <w:tr>
              <w:tc>
                <w:tcPr>
                  <w:tcW w:type="dxa" w:w="2642"/>
                </w:tcPr>
                <w:p>
                  <w:r>
                    <w:rPr>
                      <w:sz w:val="14"/>
                    </w:rPr>
                    <w:t>NumPy</w:t>
                  </w:r>
                </w:p>
              </w:tc>
              <w:tc>
                <w:tcPr>
                  <w:tcW w:type="dxa" w:w="2642"/>
                </w:tcPr>
                <w:p>
                  <w:r>
                    <w:rPr>
                      <w:sz w:val="14"/>
                    </w:rPr>
                    <w:t>Arrays, sampling, covariance, numeric work.</w:t>
                  </w:r>
                </w:p>
              </w:tc>
            </w:tr>
            <w:tr>
              <w:tc>
                <w:tcPr>
                  <w:tcW w:type="dxa" w:w="2642"/>
                </w:tcPr>
                <w:p>
                  <w:r>
                    <w:rPr>
                      <w:sz w:val="14"/>
                    </w:rPr>
                    <w:t>pandas</w:t>
                  </w:r>
                </w:p>
              </w:tc>
              <w:tc>
                <w:tcPr>
                  <w:tcW w:type="dxa" w:w="2642"/>
                </w:tcPr>
                <w:p>
                  <w:r>
                    <w:rPr>
                      <w:sz w:val="14"/>
                    </w:rPr>
                    <w:t>CSV I/O, validation, tabular features.</w:t>
                  </w:r>
                </w:p>
              </w:tc>
            </w:tr>
            <w:tr>
              <w:tc>
                <w:tcPr>
                  <w:tcW w:type="dxa" w:w="2642"/>
                </w:tcPr>
                <w:p>
                  <w:r>
                    <w:rPr>
                      <w:sz w:val="14"/>
                    </w:rPr>
                    <w:t>scikit-learn</w:t>
                  </w:r>
                </w:p>
              </w:tc>
              <w:tc>
                <w:tcPr>
                  <w:tcW w:type="dxa" w:w="2642"/>
                </w:tcPr>
                <w:p>
                  <w:r>
                    <w:rPr>
                      <w:sz w:val="14"/>
                    </w:rPr>
                    <w:t>Folds, scaling, baseline, RF, metrics.</w:t>
                  </w:r>
                </w:p>
              </w:tc>
            </w:tr>
            <w:tr>
              <w:tc>
                <w:tcPr>
                  <w:tcW w:type="dxa" w:w="2642"/>
                </w:tcPr>
                <w:p>
                  <w:r>
                    <w:rPr>
                      <w:sz w:val="14"/>
                    </w:rPr>
                    <w:t>Matplotlib</w:t>
                  </w:r>
                </w:p>
              </w:tc>
              <w:tc>
                <w:tcPr>
                  <w:tcW w:type="dxa" w:w="2642"/>
                </w:tcPr>
                <w:p>
                  <w:r>
                    <w:rPr>
                      <w:sz w:val="14"/>
                    </w:rPr>
                    <w:t>Comparison and confusion-matrix figures.</w:t>
                  </w:r>
                </w:p>
              </w:tc>
            </w:tr>
          </w:tbl>
          <w:p/>
        </w:tc>
        <w:tc>
          <w:tcPr>
            <w:tcW w:type="dxa" w:w="5285"/>
          </w:tcPr>
          <w:p>
            <w:r>
              <w:rPr>
                <w:b/>
              </w:rPr>
              <w:t>Data sources</w:t>
            </w:r>
          </w:p>
          <w:p>
            <w:pPr>
              <w:pStyle w:val="ListBullet"/>
              <w:spacing w:after="40"/>
              <w:ind w:left="259" w:hanging="173"/>
            </w:pPr>
            <w:r>
              <w:t>City of Calgary Building Permits (c2es-76ed).</w:t>
            </w:r>
          </w:p>
          <w:p>
            <w:pPr>
              <w:pStyle w:val="ListBullet"/>
              <w:spacing w:after="40"/>
              <w:ind w:left="259" w:hanging="173"/>
            </w:pPr>
            <w:r>
              <w:t>Historical Property Assessments (4ur7-wsgc).</w:t>
            </w:r>
          </w:p>
          <w:p>
            <w:pPr>
              <w:pStyle w:val="ListBullet"/>
              <w:spacing w:after="40"/>
              <w:ind w:left="259" w:hanging="173"/>
            </w:pPr>
            <w:r>
              <w:t>Calgary Transit Stops (muzh-c9qc).</w:t>
            </w:r>
          </w:p>
          <w:p>
            <w:pPr>
              <w:pStyle w:val="ListBullet"/>
              <w:spacing w:after="40"/>
              <w:ind w:left="259" w:hanging="173"/>
            </w:pPr>
            <w:r>
              <w:t>Parks Sites (kami-qbfh) and Schools (fd9t-tdn2).</w:t>
            </w:r>
          </w:p>
          <w:p>
            <w:pPr>
              <w:pStyle w:val="ListBullet"/>
              <w:spacing w:after="40"/>
              <w:ind w:left="259" w:hanging="173"/>
            </w:pPr>
            <w:r>
              <w:t>CMHC Housing Market Information Portal income tables.</w:t>
            </w:r>
          </w:p>
        </w:tc>
      </w:tr>
    </w:tbl>
    <w:p>
      <w:pPr>
        <w:pStyle w:val="Heading2"/>
      </w:pPr>
      <w:r>
        <w:t>Installation and execution</w:t>
      </w:r>
    </w:p>
    <w:tbl>
      <w:tblPr>
        <w:tblW w:type="auto" w:w="0"/>
        <w:tblLook w:firstColumn="1" w:firstRow="1" w:lastColumn="0" w:lastRow="0" w:noHBand="0" w:noVBand="1" w:val="04A0"/>
        <w:tblBorders>
          <w:top w:val="single" w:sz="6" w:color="C9CDD1"/>
          <w:left w:val="single" w:sz="6" w:color="C9CDD1"/>
          <w:bottom w:val="single" w:sz="6" w:color="C9CDD1"/>
          <w:right w:val="single" w:sz="6" w:color="C9CDD1"/>
          <w:insideH w:val="single" w:sz="6" w:color="C9CDD1"/>
          <w:insideV w:val="single" w:sz="6" w:color="C9CDD1"/>
        </w:tblBorders>
      </w:tblPr>
      <w:tblGrid>
        <w:gridCol w:w="10570"/>
      </w:tblGrid>
      <w:tr>
        <w:tc>
          <w:tcPr>
            <w:tcW w:type="dxa" w:w="10570"/>
            <w:shd w:fill="F4F5F6"/>
            <w:tcMar>
              <w:top w:w="65" w:type="dxa"/>
              <w:start w:w="90" w:type="dxa"/>
              <w:bottom w:w="65" w:type="dxa"/>
              <w:end w:w="90" w:type="dxa"/>
            </w:tcMar>
          </w:tcPr>
          <w:p>
            <w:pPr>
              <w:spacing w:after="0"/>
            </w:pPr>
            <w:r>
              <w:rPr>
                <w:rFonts w:ascii="Courier New" w:hAnsi="Courier New"/>
                <w:sz w:val="15"/>
              </w:rPr>
              <w:t>python -m venv .venv</w:t>
              <w:br/>
              <w:t>source .venv/bin/activate          # Windows: .venv\Scripts\activate</w:t>
              <w:br/>
              <w:t>python -m pip install -r requirements.txt</w:t>
              <w:br/>
              <w:t>python -m Model.EvaluateModels --models dummy sklearn --output-dir Artifacts/FinalRun</w:t>
              <w:br/>
              <w:t>python -m unittest discover -s tests -v</w:t>
            </w:r>
          </w:p>
        </w:tc>
      </w:tr>
    </w:tbl>
    <w:p>
      <w:pPr>
        <w:pStyle w:val="Heading2"/>
      </w:pPr>
      <w:r>
        <w:t>Reproducibility evidence</w:t>
      </w:r>
    </w:p>
    <w:tbl>
      <w:tblPr>
        <w:tblW w:type="auto" w:w="0"/>
        <w:tblLook w:firstColumn="1" w:firstRow="1" w:lastColumn="0" w:lastRow="0" w:noHBand="0" w:noVBand="1" w:val="04A0"/>
      </w:tblPr>
      <w:tblGrid>
        <w:gridCol w:w="5285"/>
        <w:gridCol w:w="5285"/>
      </w:tblGrid>
      <w:tr>
        <w:tc>
          <w:tcPr>
            <w:tcW w:type="dxa" w:w="5285"/>
          </w:tcPr>
          <w:p/>
          <w:p>
            <w:pPr>
              <w:pStyle w:val="ListBullet"/>
              <w:spacing w:after="40"/>
              <w:ind w:left="259" w:hanging="173"/>
            </w:pPr>
            <w:r>
              <w:t>224 rows with no missing model values.</w:t>
            </w:r>
          </w:p>
          <w:p>
            <w:pPr>
              <w:pStyle w:val="ListBullet"/>
              <w:spacing w:after="40"/>
              <w:ind w:left="259" w:hanging="173"/>
            </w:pPr>
            <w:r>
              <w:t>75 Low, 74 Medium, 75 High.</w:t>
            </w:r>
          </w:p>
          <w:p>
            <w:pPr>
              <w:pStyle w:val="ListBullet"/>
              <w:spacing w:after="40"/>
              <w:ind w:left="259" w:hanging="173"/>
            </w:pPr>
            <w:r>
              <w:t>Seed, folds, hyperparameters, and features recorded.</w:t>
            </w:r>
          </w:p>
          <w:p>
            <w:pPr>
              <w:pStyle w:val="ListBullet"/>
              <w:spacing w:after="40"/>
              <w:ind w:left="259" w:hanging="173"/>
            </w:pPr>
            <w:r>
              <w:t>Dataset hash written to the manifest.</w:t>
            </w:r>
          </w:p>
        </w:tc>
        <w:tc>
          <w:tcPr>
            <w:tcW w:type="dxa" w:w="5285"/>
          </w:tcPr>
          <w:p/>
          <w:p>
            <w:pPr>
              <w:pStyle w:val="ListBullet"/>
              <w:spacing w:after="40"/>
              <w:ind w:left="259" w:hanging="173"/>
            </w:pPr>
            <w:r>
              <w:t>Five automated tests pass in a fresh extraction.</w:t>
            </w:r>
          </w:p>
          <w:p>
            <w:pPr>
              <w:pStyle w:val="ListBullet"/>
              <w:spacing w:after="40"/>
              <w:ind w:left="259" w:hanging="173"/>
            </w:pPr>
            <w:r>
              <w:t>Saved and fresh-run metrics agree.</w:t>
            </w:r>
          </w:p>
          <w:p>
            <w:pPr>
              <w:pStyle w:val="ListBullet"/>
              <w:spacing w:after="40"/>
              <w:ind w:left="259" w:hanging="173"/>
            </w:pPr>
            <w:r>
              <w:t>Count and normalized matrices are included.</w:t>
            </w:r>
          </w:p>
          <w:p>
            <w:pPr>
              <w:pStyle w:val="ListBullet"/>
              <w:spacing w:after="40"/>
              <w:ind w:left="259" w:hanging="173"/>
            </w:pPr>
            <w:r>
              <w:t>All test evidence is real and out of fold.</w:t>
            </w:r>
          </w:p>
        </w:tc>
      </w:tr>
    </w:tbl>
    <w:p>
      <w:pPr>
        <w:pStyle w:val="Heading2"/>
      </w:pPr>
      <w:r>
        <w:t>Limitations, portability, and responsible use</w:t>
      </w:r>
    </w:p>
    <w:p>
      <w:r>
        <w:t>The clean submission scopes reproducibility to evaluation from the included final modeling CSV. Historical raw-data preparation depended on manual extracts and local utilities, so it is not represented as a one-command pipeline. Results may not transfer across cities, time periods, project types, market conditions, or assessment policies.</w:t>
      </w:r>
    </w:p>
    <w:tbl>
      <w:tblPr>
        <w:tblW w:type="auto" w:w="0"/>
        <w:jc w:val="center"/>
        <w:tblLayout w:type="autofit"/>
        <w:tblLook w:firstColumn="1" w:firstRow="1" w:lastColumn="0" w:lastRow="0" w:noHBand="0" w:noVBand="1" w:val="04A0"/>
        <w:tblBorders>
          <w:top w:val="single" w:sz="9" w:color="D99B1B"/>
          <w:left w:val="single" w:sz="9" w:color="D99B1B"/>
          <w:bottom w:val="single" w:sz="9" w:color="D99B1B"/>
          <w:right w:val="single" w:sz="9" w:color="D99B1B"/>
          <w:insideH w:val="single" w:sz="9" w:color="D99B1B"/>
          <w:insideV w:val="single" w:sz="9" w:color="D99B1B"/>
        </w:tblBorders>
      </w:tblPr>
      <w:tblGrid>
        <w:gridCol w:w="10570"/>
      </w:tblGrid>
      <w:tr>
        <w:tc>
          <w:tcPr>
            <w:tcW w:type="dxa" w:w="10570"/>
            <w:shd w:fill="FFF8E6"/>
            <w:tcMar>
              <w:top w:w="85" w:type="dxa"/>
              <w:start w:w="110" w:type="dxa"/>
              <w:bottom w:w="85" w:type="dxa"/>
              <w:end w:w="110" w:type="dxa"/>
            </w:tcMar>
          </w:tcPr>
          <w:p>
            <w:pPr>
              <w:spacing w:after="0"/>
            </w:pPr>
            <w:r>
              <w:t>Responsible-use statement: the output must not be used to approve, reject, price, or finance a real development. It is an educational result based on historical public-data proxies and requires expert interpretation.</w:t>
            </w:r>
          </w:p>
        </w:tc>
      </w:tr>
    </w:tbl>
    <w:p>
      <w:pPr>
        <w:pStyle w:val="Heading2"/>
      </w:pPr>
      <w:r>
        <w:t>References</w:t>
      </w:r>
    </w:p>
    <w:p>
      <w:pPr>
        <w:pStyle w:val="ListBullet"/>
        <w:spacing w:after="40"/>
        <w:ind w:left="259" w:hanging="173"/>
      </w:pPr>
      <w:r>
        <w:t>City of Calgary Open Data datasets c2es-76ed, 4ur7-wsgc, muzh-c9qc, kami-qbfh, and fd9t-tdn2.</w:t>
      </w:r>
    </w:p>
    <w:p>
      <w:pPr>
        <w:pStyle w:val="ListBullet"/>
        <w:spacing w:after="40"/>
        <w:ind w:left="259" w:hanging="173"/>
      </w:pPr>
      <w:r>
        <w:t>Canada Mortgage and Housing Corporation, Housing Market Information Portal.</w:t>
      </w:r>
    </w:p>
    <w:p>
      <w:pPr>
        <w:pStyle w:val="ListBullet"/>
        <w:spacing w:after="40"/>
        <w:ind w:left="259" w:hanging="173"/>
      </w:pPr>
      <w:r>
        <w:t>scikit-learn documentation: RandomForestClassifier, StratifiedKFold, StandardScaler, and model metrics.</w:t>
      </w:r>
    </w:p>
    <w:p>
      <w:pPr>
        <w:pStyle w:val="ListBullet"/>
        <w:spacing w:after="40"/>
        <w:ind w:left="259" w:hanging="173"/>
      </w:pPr>
      <w:r>
        <w:t>Group 14 project repository and generated evidence under Artifacts/Milestone2.</w:t>
      </w:r>
    </w:p>
    <w:sectPr w:rsidR="00FC693F" w:rsidRPr="0006063C" w:rsidSect="00034616">
      <w:footerReference w:type="default" r:id="rId9"/>
      <w:pgSz w:w="12240" w:h="15840"/>
      <w:pgMar w:top="720" w:right="835" w:bottom="749"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666666"/>
        <w:sz w:val="15"/>
      </w:rPr>
      <w:t xml:space="preserve">CMPT 310 · Group 14 · Summer 2026                              </w:t>
    </w:r>
    <w:r>
      <w:t xml:space="preserve">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222222"/>
      <w:sz w:val="32"/>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CC0633"/>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CC0633"/>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b/>
      <w:color w:val="222222"/>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Calgary Residential Development ROI Classifier – Project Write-Up</dc:title>
  <dc:subject>CMPT 310 Group 14 final project</dc:subject>
  <dc:creator>Finley Thomson; Monem Moheq; Srinivas Suggu; Jarrod Hwang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