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killbridge-feasibility-study"/>
    <w:p>
      <w:pPr>
        <w:pStyle w:val="Heading1"/>
      </w:pPr>
      <w:r>
        <w:t xml:space="preserve">SkillBridge Feasibility Study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 feasibility study is conducted to determine whether a proposed system is practical, achievable, and capable of meeting its intended objectives within the available constraints. For the SkillBridge project, the feasibility study evaluates whether the proposed peer-to-peer skill exchange platform can realistically be developed, implemented, tested, and maintained within the academic and technical environment of Multimedia University of Kenya.</w:t>
      </w:r>
    </w:p>
    <w:p>
      <w:pPr>
        <w:pStyle w:val="BodyText"/>
      </w:pPr>
      <w:r>
        <w:t xml:space="preserve">This study examines the technical, economic, operational, legal, and schedule feasibility of the system in order to assess whether the project is viable and worth pursuing.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technical-feasibility"/>
    <w:p>
      <w:pPr>
        <w:pStyle w:val="Heading1"/>
      </w:pPr>
      <w:r>
        <w:t xml:space="preserve">2. Technical Feasibility</w:t>
      </w:r>
    </w:p>
    <w:p>
      <w:pPr>
        <w:pStyle w:val="FirstParagraph"/>
      </w:pPr>
      <w:r>
        <w:t xml:space="preserve">Technical feasibility evaluates whether the technology, tools, infrastructure, and technical skills required for the project are available and sufficient for successful implementation.</w:t>
      </w:r>
    </w:p>
    <w:bookmarkStart w:id="22" w:name="availability-of-technology"/>
    <w:p>
      <w:pPr>
        <w:pStyle w:val="Heading2"/>
      </w:pPr>
      <w:r>
        <w:t xml:space="preserve">2.1 Availability of Technology</w:t>
      </w:r>
    </w:p>
    <w:p>
      <w:pPr>
        <w:pStyle w:val="FirstParagraph"/>
      </w:pPr>
      <w:r>
        <w:t xml:space="preserve">The technologies required for SkillBridge are readily available and widely used in modern web application development. The project will 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HTML, CSS, Bootstrap,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(Flask)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and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Tools</w:t>
            </w:r>
          </w:p>
        </w:tc>
        <w:tc>
          <w:tcPr/>
          <w:p>
            <w:pPr>
              <w:pStyle w:val="Compact"/>
            </w:pPr>
            <w:r>
              <w:t xml:space="preserve">Postman and browser-based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VS Code and MySQL Workbench</w:t>
            </w:r>
          </w:p>
        </w:tc>
      </w:tr>
    </w:tbl>
    <w:p>
      <w:pPr>
        <w:pStyle w:val="BodyText"/>
      </w:pPr>
      <w:r>
        <w:t xml:space="preserve">These technologies are open-source, well-documented, and supported by large developer communities, making them suitable for an academic development environment.</w:t>
      </w:r>
    </w:p>
    <w:bookmarkEnd w:id="22"/>
    <w:bookmarkStart w:id="23" w:name="technical-skills-availability"/>
    <w:p>
      <w:pPr>
        <w:pStyle w:val="Heading2"/>
      </w:pPr>
      <w:r>
        <w:t xml:space="preserve">2.2 Technical Skills Availability</w:t>
      </w:r>
    </w:p>
    <w:p>
      <w:pPr>
        <w:pStyle w:val="FirstParagraph"/>
      </w:pPr>
      <w:r>
        <w:t xml:space="preserve">The development team consists of Bachelor of Science in Information Technology students with prior exposure to:</w:t>
      </w:r>
    </w:p>
    <w:p>
      <w:pPr>
        <w:pStyle w:val="Compact"/>
        <w:numPr>
          <w:ilvl w:val="0"/>
          <w:numId w:val="1001"/>
        </w:numPr>
      </w:pPr>
      <w:r>
        <w:t xml:space="preserve">Database systems</w:t>
      </w:r>
    </w:p>
    <w:p>
      <w:pPr>
        <w:pStyle w:val="Compact"/>
        <w:numPr>
          <w:ilvl w:val="0"/>
          <w:numId w:val="1001"/>
        </w:numPr>
      </w:pPr>
      <w:r>
        <w:t xml:space="preserve">Web development fundamentals</w:t>
      </w:r>
    </w:p>
    <w:p>
      <w:pPr>
        <w:pStyle w:val="Compact"/>
        <w:numPr>
          <w:ilvl w:val="0"/>
          <w:numId w:val="1001"/>
        </w:numPr>
      </w:pPr>
      <w:r>
        <w:t xml:space="preserve">Programming concepts</w:t>
      </w:r>
    </w:p>
    <w:p>
      <w:pPr>
        <w:pStyle w:val="Compact"/>
        <w:numPr>
          <w:ilvl w:val="0"/>
          <w:numId w:val="1001"/>
        </w:numPr>
      </w:pPr>
      <w:r>
        <w:t xml:space="preserve">Software engineering principles</w:t>
      </w:r>
    </w:p>
    <w:p>
      <w:pPr>
        <w:pStyle w:val="Compact"/>
        <w:numPr>
          <w:ilvl w:val="0"/>
          <w:numId w:val="1001"/>
        </w:numPr>
      </w:pPr>
      <w:r>
        <w:t xml:space="preserve">Git and collaborative development workflows</w:t>
      </w:r>
    </w:p>
    <w:p>
      <w:pPr>
        <w:pStyle w:val="FirstParagraph"/>
      </w:pPr>
      <w:r>
        <w:t xml:space="preserve">Additionally, the project supervisor and online documentation resources provide technical guidance where needed.</w:t>
      </w:r>
    </w:p>
    <w:bookmarkEnd w:id="23"/>
    <w:bookmarkStart w:id="24" w:name="infrastructure-availability"/>
    <w:p>
      <w:pPr>
        <w:pStyle w:val="Heading2"/>
      </w:pPr>
      <w:r>
        <w:t xml:space="preserve">2.3 Infrastructure Availability</w:t>
      </w:r>
    </w:p>
    <w:p>
      <w:pPr>
        <w:pStyle w:val="FirstParagraph"/>
      </w:pPr>
      <w:r>
        <w:t xml:space="preserve">The project can be developed using personal laptops already owned by the group members. Testing can be conducted using:</w:t>
      </w:r>
    </w:p>
    <w:p>
      <w:pPr>
        <w:pStyle w:val="Compact"/>
        <w:numPr>
          <w:ilvl w:val="0"/>
          <w:numId w:val="1002"/>
        </w:numPr>
      </w:pPr>
      <w:r>
        <w:t xml:space="preserve">Campus internet or Wi-Fi</w:t>
      </w:r>
    </w:p>
    <w:p>
      <w:pPr>
        <w:pStyle w:val="Compact"/>
        <w:numPr>
          <w:ilvl w:val="0"/>
          <w:numId w:val="1002"/>
        </w:numPr>
      </w:pPr>
      <w:r>
        <w:t xml:space="preserve">Localhost deployment</w:t>
      </w:r>
    </w:p>
    <w:p>
      <w:pPr>
        <w:pStyle w:val="Compact"/>
        <w:numPr>
          <w:ilvl w:val="0"/>
          <w:numId w:val="1002"/>
        </w:numPr>
      </w:pPr>
      <w:r>
        <w:t xml:space="preserve">A local area network environment</w:t>
      </w:r>
    </w:p>
    <w:p>
      <w:pPr>
        <w:pStyle w:val="Compact"/>
        <w:numPr>
          <w:ilvl w:val="0"/>
          <w:numId w:val="1002"/>
        </w:numPr>
      </w:pPr>
      <w:r>
        <w:t xml:space="preserve">Free-tier cloud hosting services if necessary</w:t>
      </w:r>
    </w:p>
    <w:p>
      <w:pPr>
        <w:pStyle w:val="FirstParagraph"/>
      </w:pPr>
      <w:r>
        <w:t xml:space="preserve">No specialized hardware or enterprise infrastructure is required.</w:t>
      </w:r>
    </w:p>
    <w:bookmarkEnd w:id="24"/>
    <w:bookmarkStart w:id="25" w:name="technical-risks"/>
    <w:p>
      <w:pPr>
        <w:pStyle w:val="Heading2"/>
      </w:pPr>
      <w:r>
        <w:t xml:space="preserve">2.4 Technical Risks</w:t>
      </w:r>
    </w:p>
    <w:p>
      <w:pPr>
        <w:pStyle w:val="FirstParagraph"/>
      </w:pPr>
      <w:r>
        <w:t xml:space="preserve">Several technical risks have been identified: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Possible 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Limited backend experience</w:t>
            </w:r>
          </w:p>
        </w:tc>
        <w:tc>
          <w:tcPr/>
          <w:p>
            <w:pPr>
              <w:pStyle w:val="Compact"/>
            </w:pPr>
            <w:r>
              <w:t xml:space="preserve">Delays in implementation</w:t>
            </w:r>
          </w:p>
        </w:tc>
        <w:tc>
          <w:tcPr/>
          <w:p>
            <w:pPr>
              <w:pStyle w:val="Compact"/>
            </w:pPr>
            <w:r>
              <w:t xml:space="preserve">Use modular Agile development and extensive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inconsistency</w:t>
            </w:r>
          </w:p>
        </w:tc>
        <w:tc>
          <w:tcPr/>
          <w:p>
            <w:pPr>
              <w:pStyle w:val="Compact"/>
            </w:pPr>
            <w:r>
              <w:t xml:space="preserve">Incorrect credit or session records</w:t>
            </w:r>
          </w:p>
        </w:tc>
        <w:tc>
          <w:tcPr/>
          <w:p>
            <w:pPr>
              <w:pStyle w:val="Compact"/>
            </w:pPr>
            <w:r>
              <w:t xml:space="preserve">Use foreign key constraints and transaction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compatibility issues</w:t>
            </w:r>
          </w:p>
        </w:tc>
        <w:tc>
          <w:tcPr/>
          <w:p>
            <w:pPr>
              <w:pStyle w:val="Compact"/>
            </w:pPr>
            <w:r>
              <w:t xml:space="preserve">UI inconsistencies</w:t>
            </w:r>
          </w:p>
        </w:tc>
        <w:tc>
          <w:tcPr/>
          <w:p>
            <w:pPr>
              <w:pStyle w:val="Compact"/>
            </w:pPr>
            <w:r>
              <w:t xml:space="preserve">Test on multiple browsers during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Use password hashing and session-based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matching accuracy</w:t>
            </w:r>
          </w:p>
        </w:tc>
        <w:tc>
          <w:tcPr/>
          <w:p>
            <w:pPr>
              <w:pStyle w:val="Compact"/>
            </w:pPr>
            <w:r>
              <w:t xml:space="preserve">Low user satisfaction</w:t>
            </w:r>
          </w:p>
        </w:tc>
        <w:tc>
          <w:tcPr/>
          <w:p>
            <w:pPr>
              <w:pStyle w:val="Compact"/>
            </w:pPr>
            <w:r>
              <w:t xml:space="preserve">Iteratively refine matching logic during testing</w:t>
            </w:r>
          </w:p>
        </w:tc>
      </w:tr>
    </w:tbl>
    <w:bookmarkEnd w:id="25"/>
    <w:bookmarkStart w:id="26" w:name="technical-feasibility-conclusion"/>
    <w:p>
      <w:pPr>
        <w:pStyle w:val="Heading2"/>
      </w:pPr>
      <w:r>
        <w:t xml:space="preserve">2.5 Technical Feasibility Conclusion</w:t>
      </w:r>
    </w:p>
    <w:p>
      <w:pPr>
        <w:pStyle w:val="FirstParagraph"/>
      </w:pPr>
      <w:r>
        <w:t xml:space="preserve">The project is technically feasible because the required technologies, infrastructure, and development tools are available, affordable, and appropriate for the scope of the system.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economic-feasibility"/>
    <w:p>
      <w:pPr>
        <w:pStyle w:val="Heading1"/>
      </w:pPr>
      <w:r>
        <w:t xml:space="preserve">3. Economic Feasibility</w:t>
      </w:r>
    </w:p>
    <w:p>
      <w:pPr>
        <w:pStyle w:val="FirstParagraph"/>
      </w:pPr>
      <w:r>
        <w:t xml:space="preserve">Economic feasibility evaluates whether the project can be completed within acceptable financial constraints.</w:t>
      </w:r>
    </w:p>
    <w:bookmarkStart w:id="28" w:name="estimated-development-cost"/>
    <w:p>
      <w:pPr>
        <w:pStyle w:val="Heading2"/>
      </w:pPr>
      <w:r>
        <w:t xml:space="preserve">3.1 Estimated Development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Personal laptops</w:t>
            </w:r>
          </w:p>
        </w:tc>
        <w:tc>
          <w:tcPr/>
          <w:p>
            <w:pPr>
              <w:pStyle w:val="Compact"/>
            </w:pPr>
            <w:r>
              <w:t xml:space="preserve">KES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tools</w:t>
            </w:r>
          </w:p>
        </w:tc>
        <w:tc>
          <w:tcPr/>
          <w:p>
            <w:pPr>
              <w:pStyle w:val="Compact"/>
            </w:pPr>
            <w:r>
              <w:t xml:space="preserve">Open-source software</w:t>
            </w:r>
          </w:p>
        </w:tc>
        <w:tc>
          <w:tcPr/>
          <w:p>
            <w:pPr>
              <w:pStyle w:val="Compact"/>
            </w:pPr>
            <w:r>
              <w:t xml:space="preserve">KES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 free plan</w:t>
            </w:r>
          </w:p>
        </w:tc>
        <w:tc>
          <w:tcPr/>
          <w:p>
            <w:pPr>
              <w:pStyle w:val="Compact"/>
            </w:pPr>
            <w:r>
              <w:t xml:space="preserve">KES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hosting</w:t>
            </w:r>
          </w:p>
        </w:tc>
        <w:tc>
          <w:tcPr/>
          <w:p>
            <w:pPr>
              <w:pStyle w:val="Compact"/>
            </w:pPr>
            <w:r>
              <w:t xml:space="preserve">Free-tier cloud hosting</w:t>
            </w:r>
          </w:p>
        </w:tc>
        <w:tc>
          <w:tcPr/>
          <w:p>
            <w:pPr>
              <w:pStyle w:val="Compact"/>
            </w:pPr>
            <w:r>
              <w:t xml:space="preserve">KES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access</w:t>
            </w:r>
          </w:p>
        </w:tc>
        <w:tc>
          <w:tcPr/>
          <w:p>
            <w:pPr>
              <w:pStyle w:val="Compact"/>
            </w:pPr>
            <w:r>
              <w:t xml:space="preserve">Existing campus or personal internet</w:t>
            </w:r>
          </w:p>
        </w:tc>
        <w:tc>
          <w:tcPr/>
          <w:p>
            <w:pPr>
              <w:pStyle w:val="Compact"/>
            </w:pPr>
            <w:r>
              <w:t xml:space="preserve">KES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name (optional)</w:t>
            </w:r>
          </w:p>
        </w:tc>
        <w:tc>
          <w:tcPr/>
          <w:p>
            <w:pPr>
              <w:pStyle w:val="Compact"/>
            </w:pPr>
            <w:r>
              <w:t xml:space="preserve">Demonstration deployment</w:t>
            </w:r>
          </w:p>
        </w:tc>
        <w:tc>
          <w:tcPr/>
          <w:p>
            <w:pPr>
              <w:pStyle w:val="Compact"/>
            </w:pPr>
            <w:r>
              <w:t xml:space="preserve">KES 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Printing and binding</w:t>
            </w:r>
          </w:p>
        </w:tc>
        <w:tc>
          <w:tcPr/>
          <w:p>
            <w:pPr>
              <w:pStyle w:val="Compact"/>
            </w:pPr>
            <w:r>
              <w:t xml:space="preserve">Final documentation</w:t>
            </w:r>
          </w:p>
        </w:tc>
        <w:tc>
          <w:tcPr/>
          <w:p>
            <w:pPr>
              <w:pStyle w:val="Compact"/>
            </w:pPr>
            <w:r>
              <w:t xml:space="preserve">KES 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Estimated Cost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KES 2,700</w:t>
            </w:r>
          </w:p>
        </w:tc>
      </w:tr>
    </w:tbl>
    <w:bookmarkEnd w:id="28"/>
    <w:bookmarkStart w:id="34" w:name="cost-benefit-analysis"/>
    <w:p>
      <w:pPr>
        <w:pStyle w:val="Heading2"/>
      </w:pPr>
      <w:r>
        <w:t xml:space="preserve">3.2 Cost-Benefit Analysis</w:t>
      </w:r>
    </w:p>
    <w:bookmarkStart w:id="33" w:name="expected-benefits"/>
    <w:p>
      <w:pPr>
        <w:pStyle w:val="Heading3"/>
      </w:pPr>
      <w:r>
        <w:t xml:space="preserve">Expected Benefits</w:t>
      </w:r>
    </w:p>
    <w:bookmarkStart w:id="29" w:name="academic-benefits"/>
    <w:p>
      <w:pPr>
        <w:pStyle w:val="Heading4"/>
      </w:pPr>
      <w:r>
        <w:t xml:space="preserve">Academic Benefits</w:t>
      </w:r>
    </w:p>
    <w:p>
      <w:pPr>
        <w:pStyle w:val="Compact"/>
        <w:numPr>
          <w:ilvl w:val="0"/>
          <w:numId w:val="1003"/>
        </w:numPr>
      </w:pPr>
      <w:r>
        <w:t xml:space="preserve">Encourages collaborative peer learning</w:t>
      </w:r>
    </w:p>
    <w:p>
      <w:pPr>
        <w:pStyle w:val="Compact"/>
        <w:numPr>
          <w:ilvl w:val="0"/>
          <w:numId w:val="1003"/>
        </w:numPr>
      </w:pPr>
      <w:r>
        <w:t xml:space="preserve">Expands access to practical skills</w:t>
      </w:r>
    </w:p>
    <w:p>
      <w:pPr>
        <w:pStyle w:val="Compact"/>
        <w:numPr>
          <w:ilvl w:val="0"/>
          <w:numId w:val="1003"/>
        </w:numPr>
      </w:pPr>
      <w:r>
        <w:t xml:space="preserve">Supports self-directed learning outside formal coursework</w:t>
      </w:r>
    </w:p>
    <w:bookmarkEnd w:id="29"/>
    <w:bookmarkStart w:id="30" w:name="social-benefits"/>
    <w:p>
      <w:pPr>
        <w:pStyle w:val="Heading4"/>
      </w:pPr>
      <w:r>
        <w:t xml:space="preserve">Social Benefits</w:t>
      </w:r>
    </w:p>
    <w:p>
      <w:pPr>
        <w:pStyle w:val="Compact"/>
        <w:numPr>
          <w:ilvl w:val="0"/>
          <w:numId w:val="1004"/>
        </w:numPr>
      </w:pPr>
      <w:r>
        <w:t xml:space="preserve">Promotes interaction between students from different disciplines</w:t>
      </w:r>
    </w:p>
    <w:p>
      <w:pPr>
        <w:pStyle w:val="Compact"/>
        <w:numPr>
          <w:ilvl w:val="0"/>
          <w:numId w:val="1004"/>
        </w:numPr>
      </w:pPr>
      <w:r>
        <w:t xml:space="preserve">Encourages mentorship and collaboration</w:t>
      </w:r>
    </w:p>
    <w:p>
      <w:pPr>
        <w:pStyle w:val="Compact"/>
        <w:numPr>
          <w:ilvl w:val="0"/>
          <w:numId w:val="1004"/>
        </w:numPr>
      </w:pPr>
      <w:r>
        <w:t xml:space="preserve">Reduces barriers to accessing skills</w:t>
      </w:r>
    </w:p>
    <w:bookmarkEnd w:id="30"/>
    <w:bookmarkStart w:id="31" w:name="technical-benefits"/>
    <w:p>
      <w:pPr>
        <w:pStyle w:val="Heading4"/>
      </w:pPr>
      <w:r>
        <w:t xml:space="preserve">Technical Benefits</w:t>
      </w:r>
    </w:p>
    <w:p>
      <w:pPr>
        <w:pStyle w:val="Compact"/>
        <w:numPr>
          <w:ilvl w:val="0"/>
          <w:numId w:val="1005"/>
        </w:numPr>
      </w:pPr>
      <w:r>
        <w:t xml:space="preserve">Provides practical software engineering experience for the developers</w:t>
      </w:r>
    </w:p>
    <w:p>
      <w:pPr>
        <w:pStyle w:val="Compact"/>
        <w:numPr>
          <w:ilvl w:val="0"/>
          <w:numId w:val="1005"/>
        </w:numPr>
      </w:pPr>
      <w:r>
        <w:t xml:space="preserve">Produces a reusable university-oriented platform model</w:t>
      </w:r>
    </w:p>
    <w:bookmarkEnd w:id="31"/>
    <w:bookmarkStart w:id="32" w:name="financial-benefits"/>
    <w:p>
      <w:pPr>
        <w:pStyle w:val="Heading4"/>
      </w:pPr>
      <w:r>
        <w:t xml:space="preserve">Financial Benefits</w:t>
      </w:r>
    </w:p>
    <w:p>
      <w:pPr>
        <w:pStyle w:val="Compact"/>
        <w:numPr>
          <w:ilvl w:val="0"/>
          <w:numId w:val="1006"/>
        </w:numPr>
      </w:pPr>
      <w:r>
        <w:t xml:space="preserve">Eliminates reliance on expensive external learning platforms for basic peer learning</w:t>
      </w:r>
    </w:p>
    <w:p>
      <w:pPr>
        <w:pStyle w:val="Compact"/>
        <w:numPr>
          <w:ilvl w:val="0"/>
          <w:numId w:val="1006"/>
        </w:numPr>
      </w:pPr>
      <w:r>
        <w:t xml:space="preserve">Uses free and open-source technologies to minimize development cost</w:t>
      </w:r>
    </w:p>
    <w:bookmarkEnd w:id="32"/>
    <w:bookmarkEnd w:id="33"/>
    <w:bookmarkEnd w:id="34"/>
    <w:bookmarkStart w:id="35" w:name="economic-feasibility-conclusion"/>
    <w:p>
      <w:pPr>
        <w:pStyle w:val="Heading2"/>
      </w:pPr>
      <w:r>
        <w:t xml:space="preserve">3.3 Economic Feasibility Conclusion</w:t>
      </w:r>
    </w:p>
    <w:p>
      <w:pPr>
        <w:pStyle w:val="FirstParagraph"/>
      </w:pPr>
      <w:r>
        <w:t xml:space="preserve">The project is economically feasible because the development costs are very low compared to the expected academic and social benefits.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operational-feasibility"/>
    <w:p>
      <w:pPr>
        <w:pStyle w:val="Heading1"/>
      </w:pPr>
      <w:r>
        <w:t xml:space="preserve">4. Operational Feasibility</w:t>
      </w:r>
    </w:p>
    <w:p>
      <w:pPr>
        <w:pStyle w:val="FirstParagraph"/>
      </w:pPr>
      <w:r>
        <w:t xml:space="preserve">Operational feasibility evaluates whether the proposed system will function effectively within the intended user environment.</w:t>
      </w:r>
    </w:p>
    <w:bookmarkStart w:id="37" w:name="user-acceptance"/>
    <w:p>
      <w:pPr>
        <w:pStyle w:val="Heading2"/>
      </w:pPr>
      <w:r>
        <w:t xml:space="preserve">4.1 User Acceptance</w:t>
      </w:r>
    </w:p>
    <w:p>
      <w:pPr>
        <w:pStyle w:val="FirstParagraph"/>
      </w:pPr>
      <w:r>
        <w:t xml:space="preserve">The platform targets university students, a population that is already familiar with:</w:t>
      </w:r>
    </w:p>
    <w:p>
      <w:pPr>
        <w:pStyle w:val="Compact"/>
        <w:numPr>
          <w:ilvl w:val="0"/>
          <w:numId w:val="1007"/>
        </w:numPr>
      </w:pPr>
      <w:r>
        <w:t xml:space="preserve">Online platforms</w:t>
      </w:r>
    </w:p>
    <w:p>
      <w:pPr>
        <w:pStyle w:val="Compact"/>
        <w:numPr>
          <w:ilvl w:val="0"/>
          <w:numId w:val="1007"/>
        </w:numPr>
      </w:pPr>
      <w:r>
        <w:t xml:space="preserve">Social networking systems</w:t>
      </w:r>
    </w:p>
    <w:p>
      <w:pPr>
        <w:pStyle w:val="Compact"/>
        <w:numPr>
          <w:ilvl w:val="0"/>
          <w:numId w:val="1007"/>
        </w:numPr>
      </w:pPr>
      <w:r>
        <w:t xml:space="preserve">Digital communication tools</w:t>
      </w:r>
    </w:p>
    <w:p>
      <w:pPr>
        <w:pStyle w:val="Compact"/>
        <w:numPr>
          <w:ilvl w:val="0"/>
          <w:numId w:val="1007"/>
        </w:numPr>
      </w:pPr>
      <w:r>
        <w:t xml:space="preserve">Web-based educational systems</w:t>
      </w:r>
    </w:p>
    <w:p>
      <w:pPr>
        <w:pStyle w:val="FirstParagraph"/>
      </w:pPr>
      <w:r>
        <w:t xml:space="preserve">Students are therefore likely to adapt quickly to the system.</w:t>
      </w:r>
    </w:p>
    <w:bookmarkEnd w:id="37"/>
    <w:bookmarkStart w:id="38" w:name="alignment-with-current-practices"/>
    <w:p>
      <w:pPr>
        <w:pStyle w:val="Heading2"/>
      </w:pPr>
      <w:r>
        <w:t xml:space="preserve">4.2 Alignment with Current Practices</w:t>
      </w:r>
    </w:p>
    <w:p>
      <w:pPr>
        <w:pStyle w:val="FirstParagraph"/>
      </w:pPr>
      <w:r>
        <w:t xml:space="preserve">Students already exchange skills informally through:</w:t>
      </w:r>
    </w:p>
    <w:p>
      <w:pPr>
        <w:pStyle w:val="Compact"/>
        <w:numPr>
          <w:ilvl w:val="0"/>
          <w:numId w:val="1008"/>
        </w:numPr>
      </w:pPr>
      <w:r>
        <w:t xml:space="preserve">WhatsApp groups</w:t>
      </w:r>
    </w:p>
    <w:p>
      <w:pPr>
        <w:pStyle w:val="Compact"/>
        <w:numPr>
          <w:ilvl w:val="0"/>
          <w:numId w:val="1008"/>
        </w:numPr>
      </w:pPr>
      <w:r>
        <w:t xml:space="preserve">Study groups</w:t>
      </w:r>
    </w:p>
    <w:p>
      <w:pPr>
        <w:pStyle w:val="Compact"/>
        <w:numPr>
          <w:ilvl w:val="0"/>
          <w:numId w:val="1008"/>
        </w:numPr>
      </w:pPr>
      <w:r>
        <w:t xml:space="preserve">Clubs and societies</w:t>
      </w:r>
    </w:p>
    <w:p>
      <w:pPr>
        <w:pStyle w:val="Compact"/>
        <w:numPr>
          <w:ilvl w:val="0"/>
          <w:numId w:val="1008"/>
        </w:numPr>
      </w:pPr>
      <w:r>
        <w:t xml:space="preserve">Personal networks</w:t>
      </w:r>
    </w:p>
    <w:p>
      <w:pPr>
        <w:pStyle w:val="FirstParagraph"/>
      </w:pPr>
      <w:r>
        <w:t xml:space="preserve">SkillBridge formalizes these existing behaviors rather than introducing an entirely unfamiliar process.</w:t>
      </w:r>
    </w:p>
    <w:bookmarkEnd w:id="38"/>
    <w:bookmarkStart w:id="39" w:name="ease-of-use"/>
    <w:p>
      <w:pPr>
        <w:pStyle w:val="Heading2"/>
      </w:pPr>
      <w:r>
        <w:t xml:space="preserve">4.3 Ease of Use</w:t>
      </w:r>
    </w:p>
    <w:p>
      <w:pPr>
        <w:pStyle w:val="FirstParagraph"/>
      </w:pPr>
      <w:r>
        <w:t xml:space="preserve">The system is designed with usability as a major priority. Features such as:</w:t>
      </w:r>
    </w:p>
    <w:p>
      <w:pPr>
        <w:pStyle w:val="Compact"/>
        <w:numPr>
          <w:ilvl w:val="0"/>
          <w:numId w:val="1009"/>
        </w:numPr>
      </w:pPr>
      <w:r>
        <w:t xml:space="preserve">Clear navigation</w:t>
      </w:r>
    </w:p>
    <w:p>
      <w:pPr>
        <w:pStyle w:val="Compact"/>
        <w:numPr>
          <w:ilvl w:val="0"/>
          <w:numId w:val="1009"/>
        </w:numPr>
      </w:pPr>
      <w:r>
        <w:t xml:space="preserve">Simple forms</w:t>
      </w:r>
    </w:p>
    <w:p>
      <w:pPr>
        <w:pStyle w:val="Compact"/>
        <w:numPr>
          <w:ilvl w:val="0"/>
          <w:numId w:val="1009"/>
        </w:numPr>
      </w:pPr>
      <w:r>
        <w:t xml:space="preserve">Structured dashboards</w:t>
      </w:r>
    </w:p>
    <w:p>
      <w:pPr>
        <w:pStyle w:val="Compact"/>
        <w:numPr>
          <w:ilvl w:val="0"/>
          <w:numId w:val="1009"/>
        </w:numPr>
      </w:pPr>
      <w:r>
        <w:t xml:space="preserve">Search and matching tools</w:t>
      </w:r>
    </w:p>
    <w:p>
      <w:pPr>
        <w:pStyle w:val="Compact"/>
        <w:numPr>
          <w:ilvl w:val="0"/>
          <w:numId w:val="1009"/>
        </w:numPr>
      </w:pPr>
      <w:r>
        <w:t xml:space="preserve">Rating systems</w:t>
      </w:r>
    </w:p>
    <w:p>
      <w:pPr>
        <w:pStyle w:val="FirstParagraph"/>
      </w:pPr>
      <w:r>
        <w:t xml:space="preserve">are intended to reduce user confusion and increase adoption.</w:t>
      </w:r>
    </w:p>
    <w:bookmarkEnd w:id="39"/>
    <w:bookmarkStart w:id="40" w:name="operational-challenges"/>
    <w:p>
      <w:pPr>
        <w:pStyle w:val="Heading2"/>
      </w:pPr>
      <w:r>
        <w:t xml:space="preserve">4.4 Operational Challenges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Potential 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failing to complete sessions honestly</w:t>
            </w:r>
          </w:p>
        </w:tc>
        <w:tc>
          <w:tcPr/>
          <w:p>
            <w:pPr>
              <w:pStyle w:val="Compact"/>
            </w:pPr>
            <w:r>
              <w:t xml:space="preserve">Credit abuse</w:t>
            </w:r>
          </w:p>
        </w:tc>
        <w:tc>
          <w:tcPr/>
          <w:p>
            <w:pPr>
              <w:pStyle w:val="Compact"/>
            </w:pPr>
            <w:r>
              <w:t xml:space="preserve">Require confirmation from both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participation rates</w:t>
            </w:r>
          </w:p>
        </w:tc>
        <w:tc>
          <w:tcPr/>
          <w:p>
            <w:pPr>
              <w:pStyle w:val="Compact"/>
            </w:pPr>
            <w:r>
              <w:t xml:space="preserve">Reduced platform effectiveness</w:t>
            </w:r>
          </w:p>
        </w:tc>
        <w:tc>
          <w:tcPr/>
          <w:p>
            <w:pPr>
              <w:pStyle w:val="Compact"/>
            </w:pPr>
            <w:r>
              <w:t xml:space="preserve">Conduct awareness and onboarding during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quality exchanges</w:t>
            </w:r>
          </w:p>
        </w:tc>
        <w:tc>
          <w:tcPr/>
          <w:p>
            <w:pPr>
              <w:pStyle w:val="Compact"/>
            </w:pPr>
            <w:r>
              <w:t xml:space="preserve">User dissatisfaction</w:t>
            </w:r>
          </w:p>
        </w:tc>
        <w:tc>
          <w:tcPr/>
          <w:p>
            <w:pPr>
              <w:pStyle w:val="Compact"/>
            </w:pPr>
            <w:r>
              <w:t xml:space="preserve">Implement ratings and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conflicts</w:t>
            </w:r>
          </w:p>
        </w:tc>
        <w:tc>
          <w:tcPr/>
          <w:p>
            <w:pPr>
              <w:pStyle w:val="Compact"/>
            </w:pPr>
            <w:r>
              <w:t xml:space="preserve">Session cancellations</w:t>
            </w:r>
          </w:p>
        </w:tc>
        <w:tc>
          <w:tcPr/>
          <w:p>
            <w:pPr>
              <w:pStyle w:val="Compact"/>
            </w:pPr>
            <w:r>
              <w:t xml:space="preserve">Allow flexible scheduling options</w:t>
            </w:r>
          </w:p>
        </w:tc>
      </w:tr>
    </w:tbl>
    <w:bookmarkEnd w:id="40"/>
    <w:bookmarkStart w:id="41" w:name="operational-feasibility-conclusion"/>
    <w:p>
      <w:pPr>
        <w:pStyle w:val="Heading2"/>
      </w:pPr>
      <w:r>
        <w:t xml:space="preserve">4.5 Operational Feasibility Conclusion</w:t>
      </w:r>
    </w:p>
    <w:p>
      <w:pPr>
        <w:pStyle w:val="FirstParagraph"/>
      </w:pPr>
      <w:r>
        <w:t xml:space="preserve">The project is operationally feasible because it aligns closely with existing student behavior and addresses a real campus need.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schedule-feasibility"/>
    <w:p>
      <w:pPr>
        <w:pStyle w:val="Heading1"/>
      </w:pPr>
      <w:r>
        <w:t xml:space="preserve">5. Schedule Feasibility</w:t>
      </w:r>
    </w:p>
    <w:p>
      <w:pPr>
        <w:pStyle w:val="FirstParagraph"/>
      </w:pPr>
      <w:r>
        <w:t xml:space="preserve">Schedule feasibility evaluates whether the project can be completed within the allocated timeframe.</w:t>
      </w:r>
    </w:p>
    <w:bookmarkStart w:id="43" w:name="proposed-timeline"/>
    <w:p>
      <w:pPr>
        <w:pStyle w:val="Heading2"/>
      </w:pPr>
      <w:r>
        <w:t xml:space="preserve">5.1 Proposed Timeline</w:t>
      </w:r>
    </w:p>
    <w:p>
      <w:pPr>
        <w:pStyle w:val="FirstParagraph"/>
      </w:pPr>
      <w:r>
        <w:t xml:space="preserve">The project is planned over a 12-week period with the following phases: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 paper and approval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writing</w:t>
            </w:r>
          </w:p>
        </w:tc>
        <w:tc>
          <w:tcPr/>
          <w:p>
            <w:pPr>
              <w:pStyle w:val="Compact"/>
            </w:pPr>
            <w:r>
              <w:t xml:space="preserve">Weeks 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engineering and database design</w:t>
            </w:r>
          </w:p>
        </w:tc>
        <w:tc>
          <w:tcPr/>
          <w:p>
            <w:pPr>
              <w:pStyle w:val="Compact"/>
            </w:pPr>
            <w:r>
              <w:t xml:space="preserve">Weeks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 and wireframing</w:t>
            </w:r>
          </w:p>
        </w:tc>
        <w:tc>
          <w:tcPr/>
          <w:p>
            <w:pPr>
              <w:pStyle w:val="Compact"/>
            </w:pPr>
            <w:r>
              <w:t xml:space="preserve">Weeks 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development</w:t>
            </w:r>
          </w:p>
        </w:tc>
        <w:tc>
          <w:tcPr/>
          <w:p>
            <w:pPr>
              <w:pStyle w:val="Compact"/>
            </w:pPr>
            <w:r>
              <w:t xml:space="preserve">Weeks 4–7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implementation</w:t>
            </w:r>
          </w:p>
        </w:tc>
        <w:tc>
          <w:tcPr/>
          <w:p>
            <w:pPr>
              <w:pStyle w:val="Compact"/>
            </w:pPr>
            <w:r>
              <w:t xml:space="preserve">Weeks 6–8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and debugging</w:t>
            </w:r>
          </w:p>
        </w:tc>
        <w:tc>
          <w:tcPr/>
          <w:p>
            <w:pPr>
              <w:pStyle w:val="Compact"/>
            </w:pPr>
            <w:r>
              <w:t xml:space="preserve">Weeks 9–10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and presentation</w:t>
            </w:r>
          </w:p>
        </w:tc>
        <w:tc>
          <w:tcPr/>
          <w:p>
            <w:pPr>
              <w:pStyle w:val="Compact"/>
            </w:pPr>
            <w:r>
              <w:t xml:space="preserve">Weeks 11–12</w:t>
            </w:r>
          </w:p>
        </w:tc>
      </w:tr>
    </w:tbl>
    <w:bookmarkEnd w:id="43"/>
    <w:bookmarkStart w:id="44" w:name="agile-development-support"/>
    <w:p>
      <w:pPr>
        <w:pStyle w:val="Heading2"/>
      </w:pPr>
      <w:r>
        <w:t xml:space="preserve">5.2 Agile Development Support</w:t>
      </w:r>
    </w:p>
    <w:p>
      <w:pPr>
        <w:pStyle w:val="FirstParagraph"/>
      </w:pPr>
      <w:r>
        <w:t xml:space="preserve">The use of Agile methodology improves schedule feasibility because:</w:t>
      </w:r>
    </w:p>
    <w:p>
      <w:pPr>
        <w:pStyle w:val="Compact"/>
        <w:numPr>
          <w:ilvl w:val="0"/>
          <w:numId w:val="1010"/>
        </w:numPr>
      </w:pPr>
      <w:r>
        <w:t xml:space="preserve">Features are developed incrementally</w:t>
      </w:r>
    </w:p>
    <w:p>
      <w:pPr>
        <w:pStyle w:val="Compact"/>
        <w:numPr>
          <w:ilvl w:val="0"/>
          <w:numId w:val="1010"/>
        </w:numPr>
      </w:pPr>
      <w:r>
        <w:t xml:space="preserve">Problems can be identified early</w:t>
      </w:r>
    </w:p>
    <w:p>
      <w:pPr>
        <w:pStyle w:val="Compact"/>
        <w:numPr>
          <w:ilvl w:val="0"/>
          <w:numId w:val="1010"/>
        </w:numPr>
      </w:pPr>
      <w:r>
        <w:t xml:space="preserve">Feedback can be incorporated continuously</w:t>
      </w:r>
    </w:p>
    <w:p>
      <w:pPr>
        <w:pStyle w:val="Compact"/>
        <w:numPr>
          <w:ilvl w:val="0"/>
          <w:numId w:val="1010"/>
        </w:numPr>
      </w:pPr>
      <w:r>
        <w:t xml:space="preserve">Work can be distributed among team members</w:t>
      </w:r>
    </w:p>
    <w:bookmarkEnd w:id="44"/>
    <w:bookmarkStart w:id="45" w:name="schedule-risks"/>
    <w:p>
      <w:pPr>
        <w:pStyle w:val="Heading2"/>
      </w:pPr>
      <w:r>
        <w:t xml:space="preserve">5.3 Schedule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Delays in coding</w:t>
            </w:r>
          </w:p>
        </w:tc>
        <w:tc>
          <w:tcPr/>
          <w:p>
            <w:pPr>
              <w:pStyle w:val="Compact"/>
            </w:pPr>
            <w:r>
              <w:t xml:space="preserve">Missed deadlines</w:t>
            </w:r>
          </w:p>
        </w:tc>
        <w:tc>
          <w:tcPr/>
          <w:p>
            <w:pPr>
              <w:pStyle w:val="Compact"/>
            </w:pPr>
            <w:r>
              <w:t xml:space="preserve">Use sprint planning and task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coordination problems</w:t>
            </w:r>
          </w:p>
        </w:tc>
        <w:tc>
          <w:tcPr/>
          <w:p>
            <w:pPr>
              <w:pStyle w:val="Compact"/>
            </w:pPr>
            <w:r>
              <w:t xml:space="preserve">Reduced productivity</w:t>
            </w:r>
          </w:p>
        </w:tc>
        <w:tc>
          <w:tcPr/>
          <w:p>
            <w:pPr>
              <w:pStyle w:val="Compact"/>
            </w:pPr>
            <w:r>
              <w:t xml:space="preserve">Use GitHub and regular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 bugs</w:t>
            </w:r>
          </w:p>
        </w:tc>
        <w:tc>
          <w:tcPr/>
          <w:p>
            <w:pPr>
              <w:pStyle w:val="Compact"/>
            </w:pPr>
            <w:r>
              <w:t xml:space="preserve">Increased debugging time</w:t>
            </w:r>
          </w:p>
        </w:tc>
        <w:tc>
          <w:tcPr/>
          <w:p>
            <w:pPr>
              <w:pStyle w:val="Compact"/>
            </w:pPr>
            <w:r>
              <w:t xml:space="preserve">Begin testing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workload conflicts</w:t>
            </w:r>
          </w:p>
        </w:tc>
        <w:tc>
          <w:tcPr/>
          <w:p>
            <w:pPr>
              <w:pStyle w:val="Compact"/>
            </w:pPr>
            <w:r>
              <w:t xml:space="preserve">Reduced development time</w:t>
            </w:r>
          </w:p>
        </w:tc>
        <w:tc>
          <w:tcPr/>
          <w:p>
            <w:pPr>
              <w:pStyle w:val="Compact"/>
            </w:pPr>
            <w:r>
              <w:t xml:space="preserve">Prioritize core system features first</w:t>
            </w:r>
          </w:p>
        </w:tc>
      </w:tr>
    </w:tbl>
    <w:bookmarkEnd w:id="45"/>
    <w:bookmarkStart w:id="46" w:name="schedule-feasibility-conclusion"/>
    <w:p>
      <w:pPr>
        <w:pStyle w:val="Heading2"/>
      </w:pPr>
      <w:r>
        <w:t xml:space="preserve">5.4 Schedule Feasibility Conclusion</w:t>
      </w:r>
    </w:p>
    <w:p>
      <w:pPr>
        <w:pStyle w:val="FirstParagraph"/>
      </w:pPr>
      <w:r>
        <w:t xml:space="preserve">The project is schedule feasible because the scope is manageable within the proposed 12-week timeline, especially when supported by Agile development practices.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legal-and-ethical-feasibility"/>
    <w:p>
      <w:pPr>
        <w:pStyle w:val="Heading1"/>
      </w:pPr>
      <w:r>
        <w:t xml:space="preserve">6. Legal and Ethical Feasibility</w:t>
      </w:r>
    </w:p>
    <w:p>
      <w:pPr>
        <w:pStyle w:val="FirstParagraph"/>
      </w:pPr>
      <w:r>
        <w:t xml:space="preserve">Legal and ethical feasibility evaluates whether the project complies with acceptable legal, academic, and ethical standards.</w:t>
      </w:r>
    </w:p>
    <w:bookmarkStart w:id="48" w:name="data-privacy"/>
    <w:p>
      <w:pPr>
        <w:pStyle w:val="Heading2"/>
      </w:pPr>
      <w:r>
        <w:t xml:space="preserve">6.1 Data Privacy</w:t>
      </w:r>
    </w:p>
    <w:p>
      <w:pPr>
        <w:pStyle w:val="FirstParagraph"/>
      </w:pPr>
      <w:r>
        <w:t xml:space="preserve">The system will minimize the collection of personally identifiable information during testing. Passwords will be securely hashed before storage.</w:t>
      </w:r>
    </w:p>
    <w:bookmarkEnd w:id="48"/>
    <w:bookmarkStart w:id="49" w:name="voluntary-participation"/>
    <w:p>
      <w:pPr>
        <w:pStyle w:val="Heading2"/>
      </w:pPr>
      <w:r>
        <w:t xml:space="preserve">6.2 Voluntary Participation</w:t>
      </w:r>
    </w:p>
    <w:p>
      <w:pPr>
        <w:pStyle w:val="FirstParagraph"/>
      </w:pPr>
      <w:r>
        <w:t xml:space="preserve">All usability testing participants will provide informed consent before participating in the study.</w:t>
      </w:r>
    </w:p>
    <w:bookmarkEnd w:id="49"/>
    <w:bookmarkStart w:id="50" w:name="academic-integrity"/>
    <w:p>
      <w:pPr>
        <w:pStyle w:val="Heading2"/>
      </w:pPr>
      <w:r>
        <w:t xml:space="preserve">6.3 Academic Integrity</w:t>
      </w:r>
    </w:p>
    <w:p>
      <w:pPr>
        <w:pStyle w:val="FirstParagraph"/>
      </w:pPr>
      <w:r>
        <w:t xml:space="preserve">All third-party libraries, references, frameworks, and research sources will be properly cited using APA 7th edition formatting.</w:t>
      </w:r>
    </w:p>
    <w:bookmarkEnd w:id="50"/>
    <w:bookmarkStart w:id="51" w:name="system-safety"/>
    <w:p>
      <w:pPr>
        <w:pStyle w:val="Heading2"/>
      </w:pPr>
      <w:r>
        <w:t xml:space="preserve">6.4 System Safety</w:t>
      </w:r>
    </w:p>
    <w:p>
      <w:pPr>
        <w:pStyle w:val="FirstParagraph"/>
      </w:pPr>
      <w:r>
        <w:t xml:space="preserve">The system will be tested in a controlled local or private environment to avoid interference with university infrastructure.</w:t>
      </w:r>
    </w:p>
    <w:bookmarkEnd w:id="51"/>
    <w:bookmarkStart w:id="52" w:name="legal-and-ethical-feasibility-conclusion"/>
    <w:p>
      <w:pPr>
        <w:pStyle w:val="Heading2"/>
      </w:pPr>
      <w:r>
        <w:t xml:space="preserve">6.5 Legal and Ethical Feasibility Conclusion</w:t>
      </w:r>
    </w:p>
    <w:p>
      <w:pPr>
        <w:pStyle w:val="FirstParagraph"/>
      </w:pPr>
      <w:r>
        <w:t xml:space="preserve">The project is legally and ethically feasible because it complies with acceptable academic and software development standards.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organizational-feasibility"/>
    <w:p>
      <w:pPr>
        <w:pStyle w:val="Heading1"/>
      </w:pPr>
      <w:r>
        <w:t xml:space="preserve">7. Organizational Feasibility</w:t>
      </w:r>
    </w:p>
    <w:p>
      <w:pPr>
        <w:pStyle w:val="FirstParagraph"/>
      </w:pPr>
      <w:r>
        <w:t xml:space="preserve">Organizational feasibility evaluates whether the project fits within the institutional and academic environment.</w:t>
      </w:r>
    </w:p>
    <w:bookmarkStart w:id="54" w:name="institutional-relevance"/>
    <w:p>
      <w:pPr>
        <w:pStyle w:val="Heading2"/>
      </w:pPr>
      <w:r>
        <w:t xml:space="preserve">7.1 Institutional Relevance</w:t>
      </w:r>
    </w:p>
    <w:p>
      <w:pPr>
        <w:pStyle w:val="FirstParagraph"/>
      </w:pPr>
      <w:r>
        <w:t xml:space="preserve">The project addresses a genuine educational challenge by improving access to practical peer learning opportunities among students.</w:t>
      </w:r>
    </w:p>
    <w:bookmarkEnd w:id="54"/>
    <w:bookmarkStart w:id="55" w:name="X8d357727608d66a7aed31f7635a02749035afab"/>
    <w:p>
      <w:pPr>
        <w:pStyle w:val="Heading2"/>
      </w:pPr>
      <w:r>
        <w:t xml:space="preserve">7.2 Compatibility with University Environment</w:t>
      </w:r>
    </w:p>
    <w:p>
      <w:pPr>
        <w:pStyle w:val="FirstParagraph"/>
      </w:pPr>
      <w:r>
        <w:t xml:space="preserve">The platform complements existing learning systems rather than replacing them. It operates as a student-driven collaborative tool.</w:t>
      </w:r>
    </w:p>
    <w:bookmarkEnd w:id="55"/>
    <w:bookmarkStart w:id="56" w:name="scalability-potential"/>
    <w:p>
      <w:pPr>
        <w:pStyle w:val="Heading2"/>
      </w:pPr>
      <w:r>
        <w:t xml:space="preserve">7.3 Scalability Potential</w:t>
      </w:r>
    </w:p>
    <w:p>
      <w:pPr>
        <w:pStyle w:val="FirstParagraph"/>
      </w:pPr>
      <w:r>
        <w:t xml:space="preserve">Although initially tested at Multimedia University of Kenya, the system architecture can later be adapted for use in other universities.</w:t>
      </w:r>
    </w:p>
    <w:bookmarkEnd w:id="56"/>
    <w:bookmarkStart w:id="57" w:name="organizational-feasibility-conclusion"/>
    <w:p>
      <w:pPr>
        <w:pStyle w:val="Heading2"/>
      </w:pPr>
      <w:r>
        <w:t xml:space="preserve">7.4 Organizational Feasibility Conclusion</w:t>
      </w:r>
    </w:p>
    <w:p>
      <w:pPr>
        <w:pStyle w:val="FirstParagraph"/>
      </w:pPr>
      <w:r>
        <w:t xml:space="preserve">The project is organizationally feasible because it aligns with educational goals related to collaboration, innovation, and digital learning.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overall-feasibility-assessment"/>
    <w:p>
      <w:pPr>
        <w:pStyle w:val="Heading1"/>
      </w:pPr>
      <w:r>
        <w:t xml:space="preserve">8. Overall Feasibility Assessment</w:t>
      </w:r>
    </w:p>
    <w:p>
      <w:pPr>
        <w:pStyle w:val="FirstParagraph"/>
      </w:pPr>
      <w:r>
        <w:t xml:space="preserve">The feasibility analysis demonstrates that SkillBridge is a practical and achievable project within the available academic, financial, technical, and operational constraints.</w:t>
      </w:r>
    </w:p>
    <w:p>
      <w:pPr>
        <w:pStyle w:val="BodyText"/>
      </w:pPr>
      <w:r>
        <w:t xml:space="preserve">The project:</w:t>
      </w:r>
    </w:p>
    <w:p>
      <w:pPr>
        <w:pStyle w:val="Compact"/>
        <w:numPr>
          <w:ilvl w:val="0"/>
          <w:numId w:val="1011"/>
        </w:numPr>
      </w:pPr>
      <w:r>
        <w:t xml:space="preserve">Uses accessible and affordable technologies</w:t>
      </w:r>
    </w:p>
    <w:p>
      <w:pPr>
        <w:pStyle w:val="Compact"/>
        <w:numPr>
          <w:ilvl w:val="0"/>
          <w:numId w:val="1011"/>
        </w:numPr>
      </w:pPr>
      <w:r>
        <w:t xml:space="preserve">Solves a relevant student problem</w:t>
      </w:r>
    </w:p>
    <w:p>
      <w:pPr>
        <w:pStyle w:val="Compact"/>
        <w:numPr>
          <w:ilvl w:val="0"/>
          <w:numId w:val="1011"/>
        </w:numPr>
      </w:pPr>
      <w:r>
        <w:t xml:space="preserve">Fits within the proposed academic timeline</w:t>
      </w:r>
    </w:p>
    <w:p>
      <w:pPr>
        <w:pStyle w:val="Compact"/>
        <w:numPr>
          <w:ilvl w:val="0"/>
          <w:numId w:val="1011"/>
        </w:numPr>
      </w:pPr>
      <w:r>
        <w:t xml:space="preserve">Requires minimal financial investment</w:t>
      </w:r>
    </w:p>
    <w:p>
      <w:pPr>
        <w:pStyle w:val="Compact"/>
        <w:numPr>
          <w:ilvl w:val="0"/>
          <w:numId w:val="1011"/>
        </w:numPr>
      </w:pPr>
      <w:r>
        <w:t xml:space="preserve">Aligns with existing student behaviors and university learning culture</w:t>
      </w:r>
    </w:p>
    <w:p>
      <w:pPr>
        <w:pStyle w:val="Compact"/>
        <w:numPr>
          <w:ilvl w:val="0"/>
          <w:numId w:val="1011"/>
        </w:numPr>
      </w:pPr>
      <w:r>
        <w:t xml:space="preserve">Maintains acceptable ethical and technical standards</w:t>
      </w:r>
    </w:p>
    <w:p>
      <w:pPr>
        <w:pStyle w:val="FirstParagraph"/>
      </w:pPr>
      <w:r>
        <w:t xml:space="preserve">Therefore, the development and implementation of SkillBridge is considered feasible.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2026-05-14T10:33:57Z</dcterms:created>
  <dcterms:modified xsi:type="dcterms:W3CDTF">2026-05-14T10:33:57Z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