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0"/>
          <w:szCs w:val="40"/>
        </w:rPr>
        <w:t xml:space="preserve">Law Firm Management System</w:t>
      </w:r>
    </w:p>
    <w:p>
      <w:pPr>
        <w:spacing w:after="300"/>
      </w:pPr>
      <w:r>
        <w:rPr>
          <w:b/>
          <w:bCs/>
          <w:color w:val="555555"/>
          <w:sz w:val="28"/>
          <w:szCs w:val="28"/>
        </w:rPr>
        <w:t xml:space="preserve">MVP Product Requirements Document</w:t>
      </w:r>
    </w:p>
    <w:p>
      <w:pPr>
        <w:pStyle w:val="Heading1"/>
        <w:spacing w:after="150" w:before="300"/>
      </w:pPr>
      <w:r>
        <w:t xml:space="preserve">1. Overview</w:t>
      </w:r>
    </w:p>
    <w:p>
      <w:pPr>
        <w:spacing w:after="120"/>
      </w:pPr>
      <w:r>
        <w:t xml:space="preserve">This document defines the scope of a minimum viable product (MVP) for a law firm case and client management system. The MVP is being built for a specific Kenyan law firm with multiple branches. The purpose of the MVP is twofold: to demonstrate the software team's capability to the firm, and to serve as a portfolio piece for future clients.</w:t>
      </w:r>
    </w:p>
    <w:p>
      <w:pPr>
        <w:spacing w:after="120"/>
      </w:pPr>
      <w:r>
        <w:t xml:space="preserve">The MVP is a demonstration of workflow and technical capability, not a production ready system. Sections 7 and 8 of this document list what is explicitly out of scope and why.</w:t>
      </w:r>
    </w:p>
    <w:p>
      <w:pPr>
        <w:pStyle w:val="Heading1"/>
        <w:spacing w:after="150" w:before="300"/>
      </w:pPr>
      <w:r>
        <w:t xml:space="preserve">2. Goals</w:t>
      </w:r>
    </w:p>
    <w:p>
      <w:pPr>
        <w:pStyle w:val="ListParagraph"/>
        <w:numPr>
          <w:ilvl w:val="0"/>
          <w:numId w:val="2"/>
        </w:numPr>
        <w:spacing w:after="60"/>
      </w:pPr>
      <w:r>
        <w:t xml:space="preserve">Win this specific law firm as a client.</w:t>
      </w:r>
    </w:p>
    <w:p>
      <w:pPr>
        <w:pStyle w:val="ListParagraph"/>
        <w:numPr>
          <w:ilvl w:val="0"/>
          <w:numId w:val="2"/>
        </w:numPr>
        <w:spacing w:after="60"/>
      </w:pPr>
      <w:r>
        <w:t xml:space="preserve">Serve as a reusable pitch and portfolio piece for future law firm clients.</w:t>
      </w:r>
    </w:p>
    <w:p>
      <w:pPr>
        <w:pStyle w:val="ListParagraph"/>
        <w:numPr>
          <w:ilvl w:val="0"/>
          <w:numId w:val="2"/>
        </w:numPr>
        <w:spacing w:after="60"/>
      </w:pPr>
      <w:r>
        <w:t xml:space="preserve">Demonstrate an end to end workflow across the core modules a law firm needs.</w:t>
      </w:r>
    </w:p>
    <w:p>
      <w:pPr>
        <w:pStyle w:val="ListParagraph"/>
        <w:numPr>
          <w:ilvl w:val="0"/>
          <w:numId w:val="2"/>
        </w:numPr>
        <w:spacing w:after="60"/>
      </w:pPr>
      <w:r>
        <w:t xml:space="preserve">Show early awareness of the Kenyan legal and regulatory context the software will operate in.</w:t>
      </w:r>
    </w:p>
    <w:p>
      <w:pPr>
        <w:pStyle w:val="Heading1"/>
        <w:spacing w:after="150" w:before="300"/>
      </w:pPr>
      <w:r>
        <w:t xml:space="preserve">3. Non-Goals</w:t>
      </w:r>
    </w:p>
    <w:p>
      <w:pPr>
        <w:pStyle w:val="ListParagraph"/>
        <w:numPr>
          <w:ilvl w:val="0"/>
          <w:numId w:val="2"/>
        </w:numPr>
        <w:spacing w:after="60"/>
      </w:pPr>
      <w:r>
        <w:t xml:space="preserve">Production readiness for handling real client data.</w:t>
      </w:r>
    </w:p>
    <w:p>
      <w:pPr>
        <w:pStyle w:val="ListParagraph"/>
        <w:numPr>
          <w:ilvl w:val="0"/>
          <w:numId w:val="2"/>
        </w:numPr>
        <w:spacing w:after="60"/>
      </w:pPr>
      <w:r>
        <w:t xml:space="preserve">Full feature parity with established products such as WakiliCMS.</w:t>
      </w:r>
    </w:p>
    <w:p>
      <w:pPr>
        <w:pStyle w:val="ListParagraph"/>
        <w:numPr>
          <w:ilvl w:val="0"/>
          <w:numId w:val="2"/>
        </w:numPr>
        <w:spacing w:after="60"/>
      </w:pPr>
      <w:r>
        <w:t xml:space="preserve">Compliance certification of any kind.</w:t>
      </w:r>
    </w:p>
    <w:p>
      <w:pPr>
        <w:pStyle w:val="Heading1"/>
        <w:spacing w:after="150" w:before="300"/>
      </w:pPr>
      <w:r>
        <w:t xml:space="preserve">4. Users and Roles</w:t>
      </w:r>
    </w:p>
    <w:p>
      <w:pPr>
        <w:pStyle w:val="Heading2"/>
        <w:spacing w:after="120" w:before="240"/>
      </w:pPr>
      <w:r>
        <w:t xml:space="preserve">4.1 Admin (Owner or Partner)</w:t>
      </w:r>
    </w:p>
    <w:p>
      <w:pPr>
        <w:spacing w:after="120"/>
      </w:pPr>
      <w:r>
        <w:t xml:space="preserve">The admin represents the firm's owners or partners. On login, the admin sees a dashboard of branch cards, one per branch. Each card shows, at a glance, the number of active clients, the number of open files, and the number of court dates or bring ups due in the coming week for that branch.</w:t>
      </w:r>
    </w:p>
    <w:p>
      <w:pPr>
        <w:spacing w:after="120"/>
      </w:pPr>
      <w:r>
        <w:t xml:space="preserve">Clicking into a branch card opens a drill down view of that branch's clients, files, and calendar. An optional firm wide summary can sit above the branch cards, showing totals across all branches.</w:t>
      </w:r>
    </w:p>
    <w:p>
      <w:pPr>
        <w:pStyle w:val="Heading2"/>
        <w:spacing w:after="120" w:before="240"/>
      </w:pPr>
      <w:r>
        <w:t xml:space="preserve">4.2 Staff (Branch Level User)</w:t>
      </w:r>
    </w:p>
    <w:p>
      <w:pPr>
        <w:spacing w:after="120"/>
      </w:pPr>
      <w:r>
        <w:t xml:space="preserve">Staff are the operational users who do the actual work of opening files, tracking court dates, uploading documents, and creating invoices. A staff member can be assigned to one or more branches. Their view is scoped to the branch or branches they are assigned to; they do not see the branch picker or cards that the admin sees.</w:t>
      </w:r>
    </w:p>
    <w:p>
      <w:pPr>
        <w:pStyle w:val="Heading2"/>
        <w:spacing w:after="120" w:before="240"/>
      </w:pPr>
      <w:r>
        <w:t xml:space="preserve">4.3 Clients</w:t>
      </w:r>
    </w:p>
    <w:p>
      <w:pPr>
        <w:spacing w:after="120"/>
      </w:pPr>
      <w:r>
        <w:t xml:space="preserve">Clients are not a user type in this MVP. They do not log in or have a portal. In the reference product researched for this project (WakiliCMS), a client portal is offered as a paid, premium tier feature rather than a base feature, which supports treating it as a future roadmap item rather than an MVP requirement.</w:t>
      </w:r>
    </w:p>
    <w:p>
      <w:pPr>
        <w:pStyle w:val="Heading1"/>
        <w:spacing w:after="150" w:before="300"/>
      </w:pPr>
      <w:r>
        <w:t xml:space="preserve">5. Scope by Module</w:t>
      </w:r>
    </w:p>
    <w:p>
      <w:pPr>
        <w:spacing w:after="120"/>
      </w:pPr>
      <w:r>
        <w:t xml:space="preserve">Given the one to two week build window, four modules are included, each as a working but intentionally thin slice rather than a full feature set.</w:t>
      </w:r>
    </w:p>
    <w:p>
      <w:pPr>
        <w:pStyle w:val="Heading2"/>
        <w:spacing w:after="120" w:before="240"/>
      </w:pPr>
      <w:r>
        <w:t xml:space="preserve">5.1 Client and File Management (core)</w:t>
      </w:r>
    </w:p>
    <w:p>
      <w:pPr>
        <w:pStyle w:val="ListParagraph"/>
        <w:numPr>
          <w:ilvl w:val="0"/>
          <w:numId w:val="2"/>
        </w:numPr>
        <w:spacing w:after="60"/>
      </w:pPr>
      <w:r>
        <w:t xml:space="preserve">Client records: name, contact info, individual or organization type, notes.</w:t>
      </w:r>
    </w:p>
    <w:p>
      <w:pPr>
        <w:pStyle w:val="ListParagraph"/>
        <w:numPr>
          <w:ilvl w:val="0"/>
          <w:numId w:val="2"/>
        </w:numPr>
        <w:spacing w:after="60"/>
      </w:pPr>
      <w:r>
        <w:t xml:space="preserve">A client can have multiple files (matters) over time.</w:t>
      </w:r>
    </w:p>
    <w:p>
      <w:pPr>
        <w:pStyle w:val="ListParagraph"/>
        <w:numPr>
          <w:ilvl w:val="0"/>
          <w:numId w:val="2"/>
        </w:numPr>
        <w:spacing w:after="60"/>
      </w:pPr>
      <w:r>
        <w:t xml:space="preserve">File creation: auto generated file number, linked to a client and a branch, status (open, pending, closed).</w:t>
      </w:r>
    </w:p>
    <w:p>
      <w:pPr>
        <w:pStyle w:val="ListParagraph"/>
        <w:numPr>
          <w:ilvl w:val="0"/>
          <w:numId w:val="2"/>
        </w:numPr>
        <w:spacing w:after="60"/>
      </w:pPr>
      <w:r>
        <w:t xml:space="preserve">A file has a responsible lawyer (the assigned staff member) separate from whoever created it.</w:t>
      </w:r>
    </w:p>
    <w:p>
      <w:pPr>
        <w:pStyle w:val="ListParagraph"/>
        <w:numPr>
          <w:ilvl w:val="0"/>
          <w:numId w:val="2"/>
        </w:numPr>
        <w:spacing w:after="60"/>
      </w:pPr>
      <w:r>
        <w:t xml:space="preserve">Matter type is a free text field for the MVP, not a fixed list, since the firm's practice areas were kept broad for this phase.</w:t>
      </w:r>
    </w:p>
    <w:p>
      <w:pPr>
        <w:pStyle w:val="ListParagraph"/>
        <w:numPr>
          <w:ilvl w:val="0"/>
          <w:numId w:val="2"/>
        </w:numPr>
        <w:spacing w:after="60"/>
      </w:pPr>
      <w:r>
        <w:t xml:space="preserve">Bring ups: a follow up date and note attached to a file, with a list view of upcoming bring ups.</w:t>
      </w:r>
    </w:p>
    <w:p>
      <w:pPr>
        <w:pStyle w:val="ListParagraph"/>
        <w:numPr>
          <w:ilvl w:val="0"/>
          <w:numId w:val="2"/>
        </w:numPr>
        <w:spacing w:after="60"/>
      </w:pPr>
      <w:r>
        <w:t xml:space="preserve">A bring up can be linked to more than one staff member.</w:t>
      </w:r>
    </w:p>
    <w:p>
      <w:pPr>
        <w:pStyle w:val="ListParagraph"/>
        <w:numPr>
          <w:ilvl w:val="0"/>
          <w:numId w:val="2"/>
        </w:numPr>
        <w:spacing w:after="60"/>
      </w:pPr>
      <w:r>
        <w:t xml:space="preserve">Basic search and filter by client name, file number, or status.</w:t>
      </w:r>
    </w:p>
    <w:p>
      <w:pPr>
        <w:pStyle w:val="ListParagraph"/>
        <w:numPr>
          <w:ilvl w:val="0"/>
          <w:numId w:val="2"/>
        </w:numPr>
        <w:spacing w:after="60"/>
      </w:pPr>
      <w:r>
        <w:t xml:space="preserve">Dashboard: count of open files and files due for bring up this week, scoped by branch for staff and shown per branch card for admin.</w:t>
      </w:r>
    </w:p>
    <w:p>
      <w:pPr>
        <w:pStyle w:val="Heading2"/>
        <w:spacing w:after="120" w:before="240"/>
      </w:pPr>
      <w:r>
        <w:t xml:space="preserve">5.2 Document Management (thin slice)</w:t>
      </w:r>
    </w:p>
    <w:p>
      <w:pPr>
        <w:pStyle w:val="ListParagraph"/>
        <w:numPr>
          <w:ilvl w:val="0"/>
          <w:numId w:val="2"/>
        </w:numPr>
        <w:spacing w:after="60"/>
      </w:pPr>
      <w:r>
        <w:t xml:space="preserve">Upload documents to a file.</w:t>
      </w:r>
    </w:p>
    <w:p>
      <w:pPr>
        <w:pStyle w:val="ListParagraph"/>
        <w:numPr>
          <w:ilvl w:val="0"/>
          <w:numId w:val="2"/>
        </w:numPr>
        <w:spacing w:after="60"/>
      </w:pPr>
      <w:r>
        <w:t xml:space="preserve">List and download uploaded documents.</w:t>
      </w:r>
    </w:p>
    <w:p>
      <w:pPr>
        <w:pStyle w:val="ListParagraph"/>
        <w:numPr>
          <w:ilvl w:val="0"/>
          <w:numId w:val="2"/>
        </w:numPr>
        <w:spacing w:after="60"/>
      </w:pPr>
      <w:r>
        <w:t xml:space="preserve">Version history, in browser preview, and granular sharing permissions are not included in this phase.</w:t>
      </w:r>
    </w:p>
    <w:p>
      <w:pPr>
        <w:pStyle w:val="Heading2"/>
        <w:spacing w:after="120" w:before="240"/>
      </w:pPr>
      <w:r>
        <w:t xml:space="preserve">5.3 Diary and Calendar (thin slice)</w:t>
      </w:r>
    </w:p>
    <w:p>
      <w:pPr>
        <w:pStyle w:val="ListParagraph"/>
        <w:numPr>
          <w:ilvl w:val="0"/>
          <w:numId w:val="2"/>
        </w:numPr>
        <w:spacing w:after="60"/>
      </w:pPr>
      <w:r>
        <w:t xml:space="preserve">A single calendar view showing bring up dates and manually added events.</w:t>
      </w:r>
    </w:p>
    <w:p>
      <w:pPr>
        <w:pStyle w:val="ListParagraph"/>
        <w:numPr>
          <w:ilvl w:val="0"/>
          <w:numId w:val="2"/>
        </w:numPr>
        <w:spacing w:after="60"/>
      </w:pPr>
      <w:r>
        <w:t xml:space="preserve">Events are distinguished as either a court date or another type of event.</w:t>
      </w:r>
    </w:p>
    <w:p>
      <w:pPr>
        <w:pStyle w:val="ListParagraph"/>
        <w:numPr>
          <w:ilvl w:val="0"/>
          <w:numId w:val="2"/>
        </w:numPr>
        <w:spacing w:after="60"/>
      </w:pPr>
      <w:r>
        <w:t xml:space="preserve">Email reminders are not included; an in app due today or due this week indicator is used instead.</w:t>
      </w:r>
    </w:p>
    <w:p>
      <w:pPr>
        <w:pStyle w:val="Heading2"/>
        <w:spacing w:after="120" w:before="240"/>
      </w:pPr>
      <w:r>
        <w:t xml:space="preserve">5.4 Client Invoicing (thin slice)</w:t>
      </w:r>
    </w:p>
    <w:p>
      <w:pPr>
        <w:pStyle w:val="ListParagraph"/>
        <w:numPr>
          <w:ilvl w:val="0"/>
          <w:numId w:val="2"/>
        </w:numPr>
        <w:spacing w:after="60"/>
      </w:pPr>
      <w:r>
        <w:t xml:space="preserve">Create an invoice tied to a client and a file: line items, subtotal, total, status (draft, sent, paid, unpaid).</w:t>
      </w:r>
    </w:p>
    <w:p>
      <w:pPr>
        <w:pStyle w:val="ListParagraph"/>
        <w:numPr>
          <w:ilvl w:val="0"/>
          <w:numId w:val="2"/>
        </w:numPr>
        <w:spacing w:after="60"/>
      </w:pPr>
      <w:r>
        <w:t xml:space="preserve">A basic PDF export of the invoice.</w:t>
      </w:r>
    </w:p>
    <w:p>
      <w:pPr>
        <w:pStyle w:val="ListParagraph"/>
        <w:numPr>
          <w:ilvl w:val="0"/>
          <w:numId w:val="2"/>
        </w:numPr>
        <w:spacing w:after="60"/>
      </w:pPr>
      <w:r>
        <w:t xml:space="preserve">Quotes to invoice conversion, multi currency, payment processing, and receipts are not included in this phase.</w:t>
      </w:r>
    </w:p>
    <w:p>
      <w:pPr>
        <w:pStyle w:val="Heading1"/>
        <w:spacing w:after="150" w:before="300"/>
      </w:pPr>
      <w:r>
        <w:t xml:space="preserve">6. Data Model</w:t>
      </w:r>
    </w:p>
    <w:p>
      <w:pPr>
        <w:spacing w:after="120"/>
      </w:pPr>
      <w:r>
        <w:t xml:space="preserve">The tables below describe the core entities and their key fields for the MVP. Every client, file, calendar event, document, and invoice belongs to a branch. The branch that opened a client or file is treated as that record's branch, even though staff from other branches may be assigned to work on it.</w:t>
      </w:r>
    </w:p>
    <w:p>
      <w:pPr>
        <w:pStyle w:val="Heading2"/>
        <w:spacing w:after="120" w:before="240"/>
      </w:pPr>
      <w:r>
        <w:t xml:space="preserve">6.1 branches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D9D9D9" w:val="clear"/>
          </w:tcPr>
          <w:p>
            <w:r>
              <w:rPr>
                <w:b/>
                <w:bCs/>
              </w:rPr>
              <w:t xml:space="preserve">Field</w:t>
            </w:r>
          </w:p>
        </w:tc>
        <w:tc>
          <w:tcPr>
            <w:tcW w:type="dxa" w:w="6000"/>
            <w:shd w:fill="D9D9D9" w:val="clear"/>
          </w:tcPr>
          <w:p>
            <w:r>
              <w:rPr>
                <w:b/>
                <w:bCs/>
              </w:rPr>
              <w:t xml:space="preserve">Notes</w:t>
            </w:r>
          </w:p>
        </w:tc>
      </w:tr>
      <w:tr>
        <w:tc>
          <w:tcPr>
            <w:tcW w:type="dxa" w:w="3000"/>
          </w:tcPr>
          <w:p>
            <w:r>
              <w:rPr>
                <w:b w:val="false"/>
                <w:bCs w:val="false"/>
              </w:rPr>
              <w:t xml:space="preserve">id</w:t>
            </w:r>
          </w:p>
        </w:tc>
        <w:tc>
          <w:tcPr>
            <w:tcW w:type="dxa" w:w="6000"/>
          </w:tcPr>
          <w:p>
            <w:r>
              <w:rPr>
                <w:b w:val="false"/>
                <w:bCs w:val="false"/>
              </w:rPr>
              <w:t xml:space="preserve">Primary key</w:t>
            </w:r>
          </w:p>
        </w:tc>
      </w:tr>
      <w:tr>
        <w:tc>
          <w:tcPr>
            <w:tcW w:type="dxa" w:w="3000"/>
          </w:tcPr>
          <w:p>
            <w:r>
              <w:rPr>
                <w:b w:val="false"/>
                <w:bCs w:val="false"/>
              </w:rPr>
              <w:t xml:space="preserve">name</w:t>
            </w:r>
          </w:p>
        </w:tc>
        <w:tc>
          <w:tcPr>
            <w:tcW w:type="dxa" w:w="6000"/>
          </w:tcPr>
          <w:p>
            <w:r>
              <w:rPr>
                <w:b w:val="false"/>
                <w:bCs w:val="false"/>
              </w:rPr>
              <w:t xml:space="preserve"/>
            </w:r>
          </w:p>
        </w:tc>
      </w:tr>
      <w:tr>
        <w:tc>
          <w:tcPr>
            <w:tcW w:type="dxa" w:w="3000"/>
          </w:tcPr>
          <w:p>
            <w:r>
              <w:rPr>
                <w:b w:val="false"/>
                <w:bCs w:val="false"/>
              </w:rPr>
              <w:t xml:space="preserve">location / address</w:t>
            </w:r>
          </w:p>
        </w:tc>
        <w:tc>
          <w:tcPr>
            <w:tcW w:type="dxa" w:w="6000"/>
          </w:tcPr>
          <w:p>
            <w:r>
              <w:rPr>
                <w:b w:val="false"/>
                <w:bCs w:val="false"/>
              </w:rPr>
              <w:t xml:space="preserve"/>
            </w:r>
          </w:p>
        </w:tc>
      </w:tr>
      <w:tr>
        <w:tc>
          <w:tcPr>
            <w:tcW w:type="dxa" w:w="3000"/>
          </w:tcPr>
          <w:p>
            <w:r>
              <w:rPr>
                <w:b w:val="false"/>
                <w:bCs w:val="false"/>
              </w:rPr>
              <w:t xml:space="preserve">created_at</w:t>
            </w:r>
          </w:p>
        </w:tc>
        <w:tc>
          <w:tcPr>
            <w:tcW w:type="dxa" w:w="6000"/>
          </w:tcPr>
          <w:p>
            <w:r>
              <w:rPr>
                <w:b w:val="false"/>
                <w:bCs w:val="false"/>
              </w:rPr>
              <w:t xml:space="preserve"/>
            </w:r>
          </w:p>
        </w:tc>
      </w:tr>
    </w:tbl>
    <w:p>
      <w:pPr>
        <w:spacing w:after="200"/>
      </w:pPr>
    </w:p>
    <w:p>
      <w:pPr>
        <w:pStyle w:val="Heading2"/>
        <w:spacing w:after="120" w:before="240"/>
      </w:pPr>
      <w:r>
        <w:t xml:space="preserve">6.2 users (staff and admin)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D9D9D9" w:val="clear"/>
          </w:tcPr>
          <w:p>
            <w:r>
              <w:rPr>
                <w:b/>
                <w:bCs/>
              </w:rPr>
              <w:t xml:space="preserve">Field</w:t>
            </w:r>
          </w:p>
        </w:tc>
        <w:tc>
          <w:tcPr>
            <w:tcW w:type="dxa" w:w="6000"/>
            <w:shd w:fill="D9D9D9" w:val="clear"/>
          </w:tcPr>
          <w:p>
            <w:r>
              <w:rPr>
                <w:b/>
                <w:bCs/>
              </w:rPr>
              <w:t xml:space="preserve">Notes</w:t>
            </w:r>
          </w:p>
        </w:tc>
      </w:tr>
      <w:tr>
        <w:tc>
          <w:tcPr>
            <w:tcW w:type="dxa" w:w="3000"/>
          </w:tcPr>
          <w:p>
            <w:r>
              <w:rPr>
                <w:b w:val="false"/>
                <w:bCs w:val="false"/>
              </w:rPr>
              <w:t xml:space="preserve">id</w:t>
            </w:r>
          </w:p>
        </w:tc>
        <w:tc>
          <w:tcPr>
            <w:tcW w:type="dxa" w:w="6000"/>
          </w:tcPr>
          <w:p>
            <w:r>
              <w:rPr>
                <w:b w:val="false"/>
                <w:bCs w:val="false"/>
              </w:rPr>
              <w:t xml:space="preserve">Primary key</w:t>
            </w:r>
          </w:p>
        </w:tc>
      </w:tr>
      <w:tr>
        <w:tc>
          <w:tcPr>
            <w:tcW w:type="dxa" w:w="3000"/>
          </w:tcPr>
          <w:p>
            <w:r>
              <w:rPr>
                <w:b w:val="false"/>
                <w:bCs w:val="false"/>
              </w:rPr>
              <w:t xml:space="preserve">name</w:t>
            </w:r>
          </w:p>
        </w:tc>
        <w:tc>
          <w:tcPr>
            <w:tcW w:type="dxa" w:w="6000"/>
          </w:tcPr>
          <w:p>
            <w:r>
              <w:rPr>
                <w:b w:val="false"/>
                <w:bCs w:val="false"/>
              </w:rPr>
              <w:t xml:space="preserve"/>
            </w:r>
          </w:p>
        </w:tc>
      </w:tr>
      <w:tr>
        <w:tc>
          <w:tcPr>
            <w:tcW w:type="dxa" w:w="3000"/>
          </w:tcPr>
          <w:p>
            <w:r>
              <w:rPr>
                <w:b w:val="false"/>
                <w:bCs w:val="false"/>
              </w:rPr>
              <w:t xml:space="preserve">email</w:t>
            </w:r>
          </w:p>
        </w:tc>
        <w:tc>
          <w:tcPr>
            <w:tcW w:type="dxa" w:w="6000"/>
          </w:tcPr>
          <w:p>
            <w:r>
              <w:rPr>
                <w:b w:val="false"/>
                <w:bCs w:val="false"/>
              </w:rPr>
              <w:t xml:space="preserve"/>
            </w:r>
          </w:p>
        </w:tc>
      </w:tr>
      <w:tr>
        <w:tc>
          <w:tcPr>
            <w:tcW w:type="dxa" w:w="3000"/>
          </w:tcPr>
          <w:p>
            <w:r>
              <w:rPr>
                <w:b w:val="false"/>
                <w:bCs w:val="false"/>
              </w:rPr>
              <w:t xml:space="preserve">password_hash</w:t>
            </w:r>
          </w:p>
        </w:tc>
        <w:tc>
          <w:tcPr>
            <w:tcW w:type="dxa" w:w="6000"/>
          </w:tcPr>
          <w:p>
            <w:r>
              <w:rPr>
                <w:b w:val="false"/>
                <w:bCs w:val="false"/>
              </w:rPr>
              <w:t xml:space="preserve"/>
            </w:r>
          </w:p>
        </w:tc>
      </w:tr>
      <w:tr>
        <w:tc>
          <w:tcPr>
            <w:tcW w:type="dxa" w:w="3000"/>
          </w:tcPr>
          <w:p>
            <w:r>
              <w:rPr>
                <w:b w:val="false"/>
                <w:bCs w:val="false"/>
              </w:rPr>
              <w:t xml:space="preserve">role</w:t>
            </w:r>
          </w:p>
        </w:tc>
        <w:tc>
          <w:tcPr>
            <w:tcW w:type="dxa" w:w="6000"/>
          </w:tcPr>
          <w:p>
            <w:r>
              <w:rPr>
                <w:b w:val="false"/>
                <w:bCs w:val="false"/>
              </w:rPr>
              <w:t xml:space="preserve">admin or staff</w:t>
            </w:r>
          </w:p>
        </w:tc>
      </w:tr>
      <w:tr>
        <w:tc>
          <w:tcPr>
            <w:tcW w:type="dxa" w:w="3000"/>
          </w:tcPr>
          <w:p>
            <w:r>
              <w:rPr>
                <w:b w:val="false"/>
                <w:bCs w:val="false"/>
              </w:rPr>
              <w:t xml:space="preserve">created_at</w:t>
            </w:r>
          </w:p>
        </w:tc>
        <w:tc>
          <w:tcPr>
            <w:tcW w:type="dxa" w:w="6000"/>
          </w:tcPr>
          <w:p>
            <w:r>
              <w:rPr>
                <w:b w:val="false"/>
                <w:bCs w:val="false"/>
              </w:rPr>
              <w:t xml:space="preserve"/>
            </w:r>
          </w:p>
        </w:tc>
      </w:tr>
    </w:tbl>
    <w:p>
      <w:pPr>
        <w:spacing w:after="200"/>
      </w:pPr>
    </w:p>
    <w:p>
      <w:pPr>
        <w:pStyle w:val="Heading2"/>
        <w:spacing w:after="120" w:before="240"/>
      </w:pPr>
      <w:r>
        <w:t xml:space="preserve">6.3 user_branches (junction table)</w:t>
      </w:r>
    </w:p>
    <w:p>
      <w:pPr>
        <w:spacing w:after="120"/>
      </w:pPr>
      <w:r>
        <w:t xml:space="preserve">A staff member can be assigned to more than one branch, so this junction table links users to branches.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D9D9D9" w:val="clear"/>
          </w:tcPr>
          <w:p>
            <w:r>
              <w:rPr>
                <w:b/>
                <w:bCs/>
              </w:rPr>
              <w:t xml:space="preserve">Field</w:t>
            </w:r>
          </w:p>
        </w:tc>
        <w:tc>
          <w:tcPr>
            <w:tcW w:type="dxa" w:w="6000"/>
            <w:shd w:fill="D9D9D9" w:val="clear"/>
          </w:tcPr>
          <w:p>
            <w:r>
              <w:rPr>
                <w:b/>
                <w:bCs/>
              </w:rPr>
              <w:t xml:space="preserve">Notes</w:t>
            </w:r>
          </w:p>
        </w:tc>
      </w:tr>
      <w:tr>
        <w:tc>
          <w:tcPr>
            <w:tcW w:type="dxa" w:w="3000"/>
          </w:tcPr>
          <w:p>
            <w:r>
              <w:rPr>
                <w:b w:val="false"/>
                <w:bCs w:val="false"/>
              </w:rPr>
              <w:t xml:space="preserve">user_id</w:t>
            </w:r>
          </w:p>
        </w:tc>
        <w:tc>
          <w:tcPr>
            <w:tcW w:type="dxa" w:w="6000"/>
          </w:tcPr>
          <w:p>
            <w:r>
              <w:rPr>
                <w:b w:val="false"/>
                <w:bCs w:val="false"/>
              </w:rPr>
              <w:t xml:space="preserve"/>
            </w:r>
          </w:p>
        </w:tc>
      </w:tr>
      <w:tr>
        <w:tc>
          <w:tcPr>
            <w:tcW w:type="dxa" w:w="3000"/>
          </w:tcPr>
          <w:p>
            <w:r>
              <w:rPr>
                <w:b w:val="false"/>
                <w:bCs w:val="false"/>
              </w:rPr>
              <w:t xml:space="preserve">branch_id</w:t>
            </w:r>
          </w:p>
        </w:tc>
        <w:tc>
          <w:tcPr>
            <w:tcW w:type="dxa" w:w="6000"/>
          </w:tcPr>
          <w:p>
            <w:r>
              <w:rPr>
                <w:b w:val="false"/>
                <w:bCs w:val="false"/>
              </w:rPr>
              <w:t xml:space="preserve"/>
            </w:r>
          </w:p>
        </w:tc>
      </w:tr>
    </w:tbl>
    <w:p>
      <w:pPr>
        <w:spacing w:after="200"/>
      </w:pPr>
    </w:p>
    <w:p>
      <w:pPr>
        <w:pStyle w:val="Heading2"/>
        <w:spacing w:after="120" w:before="240"/>
      </w:pPr>
      <w:r>
        <w:t xml:space="preserve">6.4 clients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D9D9D9" w:val="clear"/>
          </w:tcPr>
          <w:p>
            <w:r>
              <w:rPr>
                <w:b/>
                <w:bCs/>
              </w:rPr>
              <w:t xml:space="preserve">Field</w:t>
            </w:r>
          </w:p>
        </w:tc>
        <w:tc>
          <w:tcPr>
            <w:tcW w:type="dxa" w:w="6000"/>
            <w:shd w:fill="D9D9D9" w:val="clear"/>
          </w:tcPr>
          <w:p>
            <w:r>
              <w:rPr>
                <w:b/>
                <w:bCs/>
              </w:rPr>
              <w:t xml:space="preserve">Notes</w:t>
            </w:r>
          </w:p>
        </w:tc>
      </w:tr>
      <w:tr>
        <w:tc>
          <w:tcPr>
            <w:tcW w:type="dxa" w:w="3000"/>
          </w:tcPr>
          <w:p>
            <w:r>
              <w:rPr>
                <w:b w:val="false"/>
                <w:bCs w:val="false"/>
              </w:rPr>
              <w:t xml:space="preserve">id</w:t>
            </w:r>
          </w:p>
        </w:tc>
        <w:tc>
          <w:tcPr>
            <w:tcW w:type="dxa" w:w="6000"/>
          </w:tcPr>
          <w:p>
            <w:r>
              <w:rPr>
                <w:b w:val="false"/>
                <w:bCs w:val="false"/>
              </w:rPr>
              <w:t xml:space="preserve">Primary key</w:t>
            </w:r>
          </w:p>
        </w:tc>
      </w:tr>
      <w:tr>
        <w:tc>
          <w:tcPr>
            <w:tcW w:type="dxa" w:w="3000"/>
          </w:tcPr>
          <w:p>
            <w:r>
              <w:rPr>
                <w:b w:val="false"/>
                <w:bCs w:val="false"/>
              </w:rPr>
              <w:t xml:space="preserve">type</w:t>
            </w:r>
          </w:p>
        </w:tc>
        <w:tc>
          <w:tcPr>
            <w:tcW w:type="dxa" w:w="6000"/>
          </w:tcPr>
          <w:p>
            <w:r>
              <w:rPr>
                <w:b w:val="false"/>
                <w:bCs w:val="false"/>
              </w:rPr>
              <w:t xml:space="preserve">individual or organization</w:t>
            </w:r>
          </w:p>
        </w:tc>
      </w:tr>
      <w:tr>
        <w:tc>
          <w:tcPr>
            <w:tcW w:type="dxa" w:w="3000"/>
          </w:tcPr>
          <w:p>
            <w:r>
              <w:rPr>
                <w:b w:val="false"/>
                <w:bCs w:val="false"/>
              </w:rPr>
              <w:t xml:space="preserve">name</w:t>
            </w:r>
          </w:p>
        </w:tc>
        <w:tc>
          <w:tcPr>
            <w:tcW w:type="dxa" w:w="6000"/>
          </w:tcPr>
          <w:p>
            <w:r>
              <w:rPr>
                <w:b w:val="false"/>
                <w:bCs w:val="false"/>
              </w:rPr>
              <w:t xml:space="preserve"/>
            </w:r>
          </w:p>
        </w:tc>
      </w:tr>
      <w:tr>
        <w:tc>
          <w:tcPr>
            <w:tcW w:type="dxa" w:w="3000"/>
          </w:tcPr>
          <w:p>
            <w:r>
              <w:rPr>
                <w:b w:val="false"/>
                <w:bCs w:val="false"/>
              </w:rPr>
              <w:t xml:space="preserve">contact_email</w:t>
            </w:r>
          </w:p>
        </w:tc>
        <w:tc>
          <w:tcPr>
            <w:tcW w:type="dxa" w:w="6000"/>
          </w:tcPr>
          <w:p>
            <w:r>
              <w:rPr>
                <w:b w:val="false"/>
                <w:bCs w:val="false"/>
              </w:rPr>
              <w:t xml:space="preserve"/>
            </w:r>
          </w:p>
        </w:tc>
      </w:tr>
      <w:tr>
        <w:tc>
          <w:tcPr>
            <w:tcW w:type="dxa" w:w="3000"/>
          </w:tcPr>
          <w:p>
            <w:r>
              <w:rPr>
                <w:b w:val="false"/>
                <w:bCs w:val="false"/>
              </w:rPr>
              <w:t xml:space="preserve">contact_phone</w:t>
            </w:r>
          </w:p>
        </w:tc>
        <w:tc>
          <w:tcPr>
            <w:tcW w:type="dxa" w:w="6000"/>
          </w:tcPr>
          <w:p>
            <w:r>
              <w:rPr>
                <w:b w:val="false"/>
                <w:bCs w:val="false"/>
              </w:rPr>
              <w:t xml:space="preserve"/>
            </w:r>
          </w:p>
        </w:tc>
      </w:tr>
      <w:tr>
        <w:tc>
          <w:tcPr>
            <w:tcW w:type="dxa" w:w="3000"/>
          </w:tcPr>
          <w:p>
            <w:r>
              <w:rPr>
                <w:b w:val="false"/>
                <w:bCs w:val="false"/>
              </w:rPr>
              <w:t xml:space="preserve">branch_id</w:t>
            </w:r>
          </w:p>
        </w:tc>
        <w:tc>
          <w:tcPr>
            <w:tcW w:type="dxa" w:w="6000"/>
          </w:tcPr>
          <w:p>
            <w:r>
              <w:rPr>
                <w:b w:val="false"/>
                <w:bCs w:val="false"/>
              </w:rPr>
              <w:t xml:space="preserve">The branch that opened this client</w:t>
            </w:r>
          </w:p>
        </w:tc>
      </w:tr>
      <w:tr>
        <w:tc>
          <w:tcPr>
            <w:tcW w:type="dxa" w:w="3000"/>
          </w:tcPr>
          <w:p>
            <w:r>
              <w:rPr>
                <w:b w:val="false"/>
                <w:bCs w:val="false"/>
              </w:rPr>
              <w:t xml:space="preserve">notes</w:t>
            </w:r>
          </w:p>
        </w:tc>
        <w:tc>
          <w:tcPr>
            <w:tcW w:type="dxa" w:w="6000"/>
          </w:tcPr>
          <w:p>
            <w:r>
              <w:rPr>
                <w:b w:val="false"/>
                <w:bCs w:val="false"/>
              </w:rPr>
              <w:t xml:space="preserve"/>
            </w:r>
          </w:p>
        </w:tc>
      </w:tr>
      <w:tr>
        <w:tc>
          <w:tcPr>
            <w:tcW w:type="dxa" w:w="3000"/>
          </w:tcPr>
          <w:p>
            <w:r>
              <w:rPr>
                <w:b w:val="false"/>
                <w:bCs w:val="false"/>
              </w:rPr>
              <w:t xml:space="preserve">created_at</w:t>
            </w:r>
          </w:p>
        </w:tc>
        <w:tc>
          <w:tcPr>
            <w:tcW w:type="dxa" w:w="6000"/>
          </w:tcPr>
          <w:p>
            <w:r>
              <w:rPr>
                <w:b w:val="false"/>
                <w:bCs w:val="false"/>
              </w:rPr>
              <w:t xml:space="preserve"/>
            </w:r>
          </w:p>
        </w:tc>
      </w:tr>
    </w:tbl>
    <w:p>
      <w:pPr>
        <w:spacing w:after="200"/>
      </w:pPr>
    </w:p>
    <w:p>
      <w:pPr>
        <w:pStyle w:val="Heading2"/>
        <w:spacing w:after="120" w:before="240"/>
      </w:pPr>
      <w:r>
        <w:t xml:space="preserve">6.5 files (matters)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D9D9D9" w:val="clear"/>
          </w:tcPr>
          <w:p>
            <w:r>
              <w:rPr>
                <w:b/>
                <w:bCs/>
              </w:rPr>
              <w:t xml:space="preserve">Field</w:t>
            </w:r>
          </w:p>
        </w:tc>
        <w:tc>
          <w:tcPr>
            <w:tcW w:type="dxa" w:w="6000"/>
            <w:shd w:fill="D9D9D9" w:val="clear"/>
          </w:tcPr>
          <w:p>
            <w:r>
              <w:rPr>
                <w:b/>
                <w:bCs/>
              </w:rPr>
              <w:t xml:space="preserve">Notes</w:t>
            </w:r>
          </w:p>
        </w:tc>
      </w:tr>
      <w:tr>
        <w:tc>
          <w:tcPr>
            <w:tcW w:type="dxa" w:w="3000"/>
          </w:tcPr>
          <w:p>
            <w:r>
              <w:rPr>
                <w:b w:val="false"/>
                <w:bCs w:val="false"/>
              </w:rPr>
              <w:t xml:space="preserve">id</w:t>
            </w:r>
          </w:p>
        </w:tc>
        <w:tc>
          <w:tcPr>
            <w:tcW w:type="dxa" w:w="6000"/>
          </w:tcPr>
          <w:p>
            <w:r>
              <w:rPr>
                <w:b w:val="false"/>
                <w:bCs w:val="false"/>
              </w:rPr>
              <w:t xml:space="preserve">Primary key</w:t>
            </w:r>
          </w:p>
        </w:tc>
      </w:tr>
      <w:tr>
        <w:tc>
          <w:tcPr>
            <w:tcW w:type="dxa" w:w="3000"/>
          </w:tcPr>
          <w:p>
            <w:r>
              <w:rPr>
                <w:b w:val="false"/>
                <w:bCs w:val="false"/>
              </w:rPr>
              <w:t xml:space="preserve">file_number</w:t>
            </w:r>
          </w:p>
        </w:tc>
        <w:tc>
          <w:tcPr>
            <w:tcW w:type="dxa" w:w="6000"/>
          </w:tcPr>
          <w:p>
            <w:r>
              <w:rPr>
                <w:b w:val="false"/>
                <w:bCs w:val="false"/>
              </w:rPr>
              <w:t xml:space="preserve">Auto generated</w:t>
            </w:r>
          </w:p>
        </w:tc>
      </w:tr>
      <w:tr>
        <w:tc>
          <w:tcPr>
            <w:tcW w:type="dxa" w:w="3000"/>
          </w:tcPr>
          <w:p>
            <w:r>
              <w:rPr>
                <w:b w:val="false"/>
                <w:bCs w:val="false"/>
              </w:rPr>
              <w:t xml:space="preserve">client_id</w:t>
            </w:r>
          </w:p>
        </w:tc>
        <w:tc>
          <w:tcPr>
            <w:tcW w:type="dxa" w:w="6000"/>
          </w:tcPr>
          <w:p>
            <w:r>
              <w:rPr>
                <w:b w:val="false"/>
                <w:bCs w:val="false"/>
              </w:rPr>
              <w:t xml:space="preserve"/>
            </w:r>
          </w:p>
        </w:tc>
      </w:tr>
      <w:tr>
        <w:tc>
          <w:tcPr>
            <w:tcW w:type="dxa" w:w="3000"/>
          </w:tcPr>
          <w:p>
            <w:r>
              <w:rPr>
                <w:b w:val="false"/>
                <w:bCs w:val="false"/>
              </w:rPr>
              <w:t xml:space="preserve">branch_id</w:t>
            </w:r>
          </w:p>
        </w:tc>
        <w:tc>
          <w:tcPr>
            <w:tcW w:type="dxa" w:w="6000"/>
          </w:tcPr>
          <w:p>
            <w:r>
              <w:rPr>
                <w:b w:val="false"/>
                <w:bCs w:val="false"/>
              </w:rPr>
              <w:t xml:space="preserve"/>
            </w:r>
          </w:p>
        </w:tc>
      </w:tr>
      <w:tr>
        <w:tc>
          <w:tcPr>
            <w:tcW w:type="dxa" w:w="3000"/>
          </w:tcPr>
          <w:p>
            <w:r>
              <w:rPr>
                <w:b w:val="false"/>
                <w:bCs w:val="false"/>
              </w:rPr>
              <w:t xml:space="preserve">matter_type</w:t>
            </w:r>
          </w:p>
        </w:tc>
        <w:tc>
          <w:tcPr>
            <w:tcW w:type="dxa" w:w="6000"/>
          </w:tcPr>
          <w:p>
            <w:r>
              <w:rPr>
                <w:b w:val="false"/>
                <w:bCs w:val="false"/>
              </w:rPr>
              <w:t xml:space="preserve">Free text for the MVP</w:t>
            </w:r>
          </w:p>
        </w:tc>
      </w:tr>
      <w:tr>
        <w:tc>
          <w:tcPr>
            <w:tcW w:type="dxa" w:w="3000"/>
          </w:tcPr>
          <w:p>
            <w:r>
              <w:rPr>
                <w:b w:val="false"/>
                <w:bCs w:val="false"/>
              </w:rPr>
              <w:t xml:space="preserve">responsible_lawyer_id</w:t>
            </w:r>
          </w:p>
        </w:tc>
        <w:tc>
          <w:tcPr>
            <w:tcW w:type="dxa" w:w="6000"/>
          </w:tcPr>
          <w:p>
            <w:r>
              <w:rPr>
                <w:b w:val="false"/>
                <w:bCs w:val="false"/>
              </w:rPr>
              <w:t xml:space="preserve">References users</w:t>
            </w:r>
          </w:p>
        </w:tc>
      </w:tr>
      <w:tr>
        <w:tc>
          <w:tcPr>
            <w:tcW w:type="dxa" w:w="3000"/>
          </w:tcPr>
          <w:p>
            <w:r>
              <w:rPr>
                <w:b w:val="false"/>
                <w:bCs w:val="false"/>
              </w:rPr>
              <w:t xml:space="preserve">created_by</w:t>
            </w:r>
          </w:p>
        </w:tc>
        <w:tc>
          <w:tcPr>
            <w:tcW w:type="dxa" w:w="6000"/>
          </w:tcPr>
          <w:p>
            <w:r>
              <w:rPr>
                <w:b w:val="false"/>
                <w:bCs w:val="false"/>
              </w:rPr>
              <w:t xml:space="preserve">References users</w:t>
            </w:r>
          </w:p>
        </w:tc>
      </w:tr>
      <w:tr>
        <w:tc>
          <w:tcPr>
            <w:tcW w:type="dxa" w:w="3000"/>
          </w:tcPr>
          <w:p>
            <w:r>
              <w:rPr>
                <w:b w:val="false"/>
                <w:bCs w:val="false"/>
              </w:rPr>
              <w:t xml:space="preserve">status</w:t>
            </w:r>
          </w:p>
        </w:tc>
        <w:tc>
          <w:tcPr>
            <w:tcW w:type="dxa" w:w="6000"/>
          </w:tcPr>
          <w:p>
            <w:r>
              <w:rPr>
                <w:b w:val="false"/>
                <w:bCs w:val="false"/>
              </w:rPr>
              <w:t xml:space="preserve">open, pending, or closed</w:t>
            </w:r>
          </w:p>
        </w:tc>
      </w:tr>
      <w:tr>
        <w:tc>
          <w:tcPr>
            <w:tcW w:type="dxa" w:w="3000"/>
          </w:tcPr>
          <w:p>
            <w:r>
              <w:rPr>
                <w:b w:val="false"/>
                <w:bCs w:val="false"/>
              </w:rPr>
              <w:t xml:space="preserve">description</w:t>
            </w:r>
          </w:p>
        </w:tc>
        <w:tc>
          <w:tcPr>
            <w:tcW w:type="dxa" w:w="6000"/>
          </w:tcPr>
          <w:p>
            <w:r>
              <w:rPr>
                <w:b w:val="false"/>
                <w:bCs w:val="false"/>
              </w:rPr>
              <w:t xml:space="preserve"/>
            </w:r>
          </w:p>
        </w:tc>
      </w:tr>
      <w:tr>
        <w:tc>
          <w:tcPr>
            <w:tcW w:type="dxa" w:w="3000"/>
          </w:tcPr>
          <w:p>
            <w:r>
              <w:rPr>
                <w:b w:val="false"/>
                <w:bCs w:val="false"/>
              </w:rPr>
              <w:t xml:space="preserve">created_at</w:t>
            </w:r>
          </w:p>
        </w:tc>
        <w:tc>
          <w:tcPr>
            <w:tcW w:type="dxa" w:w="6000"/>
          </w:tcPr>
          <w:p>
            <w:r>
              <w:rPr>
                <w:b w:val="false"/>
                <w:bCs w:val="false"/>
              </w:rPr>
              <w:t xml:space="preserve"/>
            </w:r>
          </w:p>
        </w:tc>
      </w:tr>
    </w:tbl>
    <w:p>
      <w:pPr>
        <w:spacing w:after="200"/>
      </w:pPr>
    </w:p>
    <w:p>
      <w:pPr>
        <w:pStyle w:val="Heading2"/>
        <w:spacing w:after="120" w:before="240"/>
      </w:pPr>
      <w:r>
        <w:t xml:space="preserve">6.6 bring_ups (calendar events and court dates)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D9D9D9" w:val="clear"/>
          </w:tcPr>
          <w:p>
            <w:r>
              <w:rPr>
                <w:b/>
                <w:bCs/>
              </w:rPr>
              <w:t xml:space="preserve">Field</w:t>
            </w:r>
          </w:p>
        </w:tc>
        <w:tc>
          <w:tcPr>
            <w:tcW w:type="dxa" w:w="6000"/>
            <w:shd w:fill="D9D9D9" w:val="clear"/>
          </w:tcPr>
          <w:p>
            <w:r>
              <w:rPr>
                <w:b/>
                <w:bCs/>
              </w:rPr>
              <w:t xml:space="preserve">Notes</w:t>
            </w:r>
          </w:p>
        </w:tc>
      </w:tr>
      <w:tr>
        <w:tc>
          <w:tcPr>
            <w:tcW w:type="dxa" w:w="3000"/>
          </w:tcPr>
          <w:p>
            <w:r>
              <w:rPr>
                <w:b w:val="false"/>
                <w:bCs w:val="false"/>
              </w:rPr>
              <w:t xml:space="preserve">id</w:t>
            </w:r>
          </w:p>
        </w:tc>
        <w:tc>
          <w:tcPr>
            <w:tcW w:type="dxa" w:w="6000"/>
          </w:tcPr>
          <w:p>
            <w:r>
              <w:rPr>
                <w:b w:val="false"/>
                <w:bCs w:val="false"/>
              </w:rPr>
              <w:t xml:space="preserve">Primary key</w:t>
            </w:r>
          </w:p>
        </w:tc>
      </w:tr>
      <w:tr>
        <w:tc>
          <w:tcPr>
            <w:tcW w:type="dxa" w:w="3000"/>
          </w:tcPr>
          <w:p>
            <w:r>
              <w:rPr>
                <w:b w:val="false"/>
                <w:bCs w:val="false"/>
              </w:rPr>
              <w:t xml:space="preserve">file_id</w:t>
            </w:r>
          </w:p>
        </w:tc>
        <w:tc>
          <w:tcPr>
            <w:tcW w:type="dxa" w:w="6000"/>
          </w:tcPr>
          <w:p>
            <w:r>
              <w:rPr>
                <w:b w:val="false"/>
                <w:bCs w:val="false"/>
              </w:rPr>
              <w:t xml:space="preserve"/>
            </w:r>
          </w:p>
        </w:tc>
      </w:tr>
      <w:tr>
        <w:tc>
          <w:tcPr>
            <w:tcW w:type="dxa" w:w="3000"/>
          </w:tcPr>
          <w:p>
            <w:r>
              <w:rPr>
                <w:b w:val="false"/>
                <w:bCs w:val="false"/>
              </w:rPr>
              <w:t xml:space="preserve">event_type</w:t>
            </w:r>
          </w:p>
        </w:tc>
        <w:tc>
          <w:tcPr>
            <w:tcW w:type="dxa" w:w="6000"/>
          </w:tcPr>
          <w:p>
            <w:r>
              <w:rPr>
                <w:b w:val="false"/>
                <w:bCs w:val="false"/>
              </w:rPr>
              <w:t xml:space="preserve">court_date or other</w:t>
            </w:r>
          </w:p>
        </w:tc>
      </w:tr>
      <w:tr>
        <w:tc>
          <w:tcPr>
            <w:tcW w:type="dxa" w:w="3000"/>
          </w:tcPr>
          <w:p>
            <w:r>
              <w:rPr>
                <w:b w:val="false"/>
                <w:bCs w:val="false"/>
              </w:rPr>
              <w:t xml:space="preserve">title / description</w:t>
            </w:r>
          </w:p>
        </w:tc>
        <w:tc>
          <w:tcPr>
            <w:tcW w:type="dxa" w:w="6000"/>
          </w:tcPr>
          <w:p>
            <w:r>
              <w:rPr>
                <w:b w:val="false"/>
                <w:bCs w:val="false"/>
              </w:rPr>
              <w:t xml:space="preserve"/>
            </w:r>
          </w:p>
        </w:tc>
      </w:tr>
      <w:tr>
        <w:tc>
          <w:tcPr>
            <w:tcW w:type="dxa" w:w="3000"/>
          </w:tcPr>
          <w:p>
            <w:r>
              <w:rPr>
                <w:b w:val="false"/>
                <w:bCs w:val="false"/>
              </w:rPr>
              <w:t xml:space="preserve">due_date</w:t>
            </w:r>
          </w:p>
        </w:tc>
        <w:tc>
          <w:tcPr>
            <w:tcW w:type="dxa" w:w="6000"/>
          </w:tcPr>
          <w:p>
            <w:r>
              <w:rPr>
                <w:b w:val="false"/>
                <w:bCs w:val="false"/>
              </w:rPr>
              <w:t xml:space="preserve"/>
            </w:r>
          </w:p>
        </w:tc>
      </w:tr>
      <w:tr>
        <w:tc>
          <w:tcPr>
            <w:tcW w:type="dxa" w:w="3000"/>
          </w:tcPr>
          <w:p>
            <w:r>
              <w:rPr>
                <w:b w:val="false"/>
                <w:bCs w:val="false"/>
              </w:rPr>
              <w:t xml:space="preserve">created_by</w:t>
            </w:r>
          </w:p>
        </w:tc>
        <w:tc>
          <w:tcPr>
            <w:tcW w:type="dxa" w:w="6000"/>
          </w:tcPr>
          <w:p>
            <w:r>
              <w:rPr>
                <w:b w:val="false"/>
                <w:bCs w:val="false"/>
              </w:rPr>
              <w:t xml:space="preserve">References users</w:t>
            </w:r>
          </w:p>
        </w:tc>
      </w:tr>
      <w:tr>
        <w:tc>
          <w:tcPr>
            <w:tcW w:type="dxa" w:w="3000"/>
          </w:tcPr>
          <w:p>
            <w:r>
              <w:rPr>
                <w:b w:val="false"/>
                <w:bCs w:val="false"/>
              </w:rPr>
              <w:t xml:space="preserve">status</w:t>
            </w:r>
          </w:p>
        </w:tc>
        <w:tc>
          <w:tcPr>
            <w:tcW w:type="dxa" w:w="6000"/>
          </w:tcPr>
          <w:p>
            <w:r>
              <w:rPr>
                <w:b w:val="false"/>
                <w:bCs w:val="false"/>
              </w:rPr>
              <w:t xml:space="preserve">upcoming or done</w:t>
            </w:r>
          </w:p>
        </w:tc>
      </w:tr>
    </w:tbl>
    <w:p>
      <w:pPr>
        <w:spacing w:after="200"/>
      </w:pPr>
    </w:p>
    <w:p>
      <w:pPr>
        <w:pStyle w:val="Heading2"/>
        <w:spacing w:after="120" w:before="240"/>
      </w:pPr>
      <w:r>
        <w:t xml:space="preserve">6.7 bring_up_staff (junction table)</w:t>
      </w:r>
    </w:p>
    <w:p>
      <w:pPr>
        <w:spacing w:after="120"/>
      </w:pPr>
      <w:r>
        <w:t xml:space="preserve">A bring up can involve more than one staff member, so this junction table links bring ups to users.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D9D9D9" w:val="clear"/>
          </w:tcPr>
          <w:p>
            <w:r>
              <w:rPr>
                <w:b/>
                <w:bCs/>
              </w:rPr>
              <w:t xml:space="preserve">Field</w:t>
            </w:r>
          </w:p>
        </w:tc>
        <w:tc>
          <w:tcPr>
            <w:tcW w:type="dxa" w:w="6000"/>
            <w:shd w:fill="D9D9D9" w:val="clear"/>
          </w:tcPr>
          <w:p>
            <w:r>
              <w:rPr>
                <w:b/>
                <w:bCs/>
              </w:rPr>
              <w:t xml:space="preserve">Notes</w:t>
            </w:r>
          </w:p>
        </w:tc>
      </w:tr>
      <w:tr>
        <w:tc>
          <w:tcPr>
            <w:tcW w:type="dxa" w:w="3000"/>
          </w:tcPr>
          <w:p>
            <w:r>
              <w:rPr>
                <w:b w:val="false"/>
                <w:bCs w:val="false"/>
              </w:rPr>
              <w:t xml:space="preserve">bring_up_id</w:t>
            </w:r>
          </w:p>
        </w:tc>
        <w:tc>
          <w:tcPr>
            <w:tcW w:type="dxa" w:w="6000"/>
          </w:tcPr>
          <w:p>
            <w:r>
              <w:rPr>
                <w:b w:val="false"/>
                <w:bCs w:val="false"/>
              </w:rPr>
              <w:t xml:space="preserve"/>
            </w:r>
          </w:p>
        </w:tc>
      </w:tr>
      <w:tr>
        <w:tc>
          <w:tcPr>
            <w:tcW w:type="dxa" w:w="3000"/>
          </w:tcPr>
          <w:p>
            <w:r>
              <w:rPr>
                <w:b w:val="false"/>
                <w:bCs w:val="false"/>
              </w:rPr>
              <w:t xml:space="preserve">user_id</w:t>
            </w:r>
          </w:p>
        </w:tc>
        <w:tc>
          <w:tcPr>
            <w:tcW w:type="dxa" w:w="6000"/>
          </w:tcPr>
          <w:p>
            <w:r>
              <w:rPr>
                <w:b w:val="false"/>
                <w:bCs w:val="false"/>
              </w:rPr>
              <w:t xml:space="preserve"/>
            </w:r>
          </w:p>
        </w:tc>
      </w:tr>
    </w:tbl>
    <w:p>
      <w:pPr>
        <w:spacing w:after="200"/>
      </w:pPr>
    </w:p>
    <w:p>
      <w:pPr>
        <w:pStyle w:val="Heading2"/>
        <w:spacing w:after="120" w:before="240"/>
      </w:pPr>
      <w:r>
        <w:t xml:space="preserve">6.8 documents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D9D9D9" w:val="clear"/>
          </w:tcPr>
          <w:p>
            <w:r>
              <w:rPr>
                <w:b/>
                <w:bCs/>
              </w:rPr>
              <w:t xml:space="preserve">Field</w:t>
            </w:r>
          </w:p>
        </w:tc>
        <w:tc>
          <w:tcPr>
            <w:tcW w:type="dxa" w:w="6000"/>
            <w:shd w:fill="D9D9D9" w:val="clear"/>
          </w:tcPr>
          <w:p>
            <w:r>
              <w:rPr>
                <w:b/>
                <w:bCs/>
              </w:rPr>
              <w:t xml:space="preserve">Notes</w:t>
            </w:r>
          </w:p>
        </w:tc>
      </w:tr>
      <w:tr>
        <w:tc>
          <w:tcPr>
            <w:tcW w:type="dxa" w:w="3000"/>
          </w:tcPr>
          <w:p>
            <w:r>
              <w:rPr>
                <w:b w:val="false"/>
                <w:bCs w:val="false"/>
              </w:rPr>
              <w:t xml:space="preserve">id</w:t>
            </w:r>
          </w:p>
        </w:tc>
        <w:tc>
          <w:tcPr>
            <w:tcW w:type="dxa" w:w="6000"/>
          </w:tcPr>
          <w:p>
            <w:r>
              <w:rPr>
                <w:b w:val="false"/>
                <w:bCs w:val="false"/>
              </w:rPr>
              <w:t xml:space="preserve">Primary key</w:t>
            </w:r>
          </w:p>
        </w:tc>
      </w:tr>
      <w:tr>
        <w:tc>
          <w:tcPr>
            <w:tcW w:type="dxa" w:w="3000"/>
          </w:tcPr>
          <w:p>
            <w:r>
              <w:rPr>
                <w:b w:val="false"/>
                <w:bCs w:val="false"/>
              </w:rPr>
              <w:t xml:space="preserve">file_id</w:t>
            </w:r>
          </w:p>
        </w:tc>
        <w:tc>
          <w:tcPr>
            <w:tcW w:type="dxa" w:w="6000"/>
          </w:tcPr>
          <w:p>
            <w:r>
              <w:rPr>
                <w:b w:val="false"/>
                <w:bCs w:val="false"/>
              </w:rPr>
              <w:t xml:space="preserve"/>
            </w:r>
          </w:p>
        </w:tc>
      </w:tr>
      <w:tr>
        <w:tc>
          <w:tcPr>
            <w:tcW w:type="dxa" w:w="3000"/>
          </w:tcPr>
          <w:p>
            <w:r>
              <w:rPr>
                <w:b w:val="false"/>
                <w:bCs w:val="false"/>
              </w:rPr>
              <w:t xml:space="preserve">uploaded_by</w:t>
            </w:r>
          </w:p>
        </w:tc>
        <w:tc>
          <w:tcPr>
            <w:tcW w:type="dxa" w:w="6000"/>
          </w:tcPr>
          <w:p>
            <w:r>
              <w:rPr>
                <w:b w:val="false"/>
                <w:bCs w:val="false"/>
              </w:rPr>
              <w:t xml:space="preserve">References users</w:t>
            </w:r>
          </w:p>
        </w:tc>
      </w:tr>
      <w:tr>
        <w:tc>
          <w:tcPr>
            <w:tcW w:type="dxa" w:w="3000"/>
          </w:tcPr>
          <w:p>
            <w:r>
              <w:rPr>
                <w:b w:val="false"/>
                <w:bCs w:val="false"/>
              </w:rPr>
              <w:t xml:space="preserve">file_name</w:t>
            </w:r>
          </w:p>
        </w:tc>
        <w:tc>
          <w:tcPr>
            <w:tcW w:type="dxa" w:w="6000"/>
          </w:tcPr>
          <w:p>
            <w:r>
              <w:rPr>
                <w:b w:val="false"/>
                <w:bCs w:val="false"/>
              </w:rPr>
              <w:t xml:space="preserve"/>
            </w:r>
          </w:p>
        </w:tc>
      </w:tr>
      <w:tr>
        <w:tc>
          <w:tcPr>
            <w:tcW w:type="dxa" w:w="3000"/>
          </w:tcPr>
          <w:p>
            <w:r>
              <w:rPr>
                <w:b w:val="false"/>
                <w:bCs w:val="false"/>
              </w:rPr>
              <w:t xml:space="preserve">file_url</w:t>
            </w:r>
          </w:p>
        </w:tc>
        <w:tc>
          <w:tcPr>
            <w:tcW w:type="dxa" w:w="6000"/>
          </w:tcPr>
          <w:p>
            <w:r>
              <w:rPr>
                <w:b w:val="false"/>
                <w:bCs w:val="false"/>
              </w:rPr>
              <w:t xml:space="preserve">Storage path</w:t>
            </w:r>
          </w:p>
        </w:tc>
      </w:tr>
      <w:tr>
        <w:tc>
          <w:tcPr>
            <w:tcW w:type="dxa" w:w="3000"/>
          </w:tcPr>
          <w:p>
            <w:r>
              <w:rPr>
                <w:b w:val="false"/>
                <w:bCs w:val="false"/>
              </w:rPr>
              <w:t xml:space="preserve">uploaded_at</w:t>
            </w:r>
          </w:p>
        </w:tc>
        <w:tc>
          <w:tcPr>
            <w:tcW w:type="dxa" w:w="6000"/>
          </w:tcPr>
          <w:p>
            <w:r>
              <w:rPr>
                <w:b w:val="false"/>
                <w:bCs w:val="false"/>
              </w:rPr>
              <w:t xml:space="preserve"/>
            </w:r>
          </w:p>
        </w:tc>
      </w:tr>
    </w:tbl>
    <w:p>
      <w:pPr>
        <w:spacing w:after="200"/>
      </w:pPr>
    </w:p>
    <w:p>
      <w:pPr>
        <w:pStyle w:val="Heading2"/>
        <w:spacing w:after="120" w:before="240"/>
      </w:pPr>
      <w:r>
        <w:t xml:space="preserve">6.9 invoices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D9D9D9" w:val="clear"/>
          </w:tcPr>
          <w:p>
            <w:r>
              <w:rPr>
                <w:b/>
                <w:bCs/>
              </w:rPr>
              <w:t xml:space="preserve">Field</w:t>
            </w:r>
          </w:p>
        </w:tc>
        <w:tc>
          <w:tcPr>
            <w:tcW w:type="dxa" w:w="6000"/>
            <w:shd w:fill="D9D9D9" w:val="clear"/>
          </w:tcPr>
          <w:p>
            <w:r>
              <w:rPr>
                <w:b/>
                <w:bCs/>
              </w:rPr>
              <w:t xml:space="preserve">Notes</w:t>
            </w:r>
          </w:p>
        </w:tc>
      </w:tr>
      <w:tr>
        <w:tc>
          <w:tcPr>
            <w:tcW w:type="dxa" w:w="3000"/>
          </w:tcPr>
          <w:p>
            <w:r>
              <w:rPr>
                <w:b w:val="false"/>
                <w:bCs w:val="false"/>
              </w:rPr>
              <w:t xml:space="preserve">id</w:t>
            </w:r>
          </w:p>
        </w:tc>
        <w:tc>
          <w:tcPr>
            <w:tcW w:type="dxa" w:w="6000"/>
          </w:tcPr>
          <w:p>
            <w:r>
              <w:rPr>
                <w:b w:val="false"/>
                <w:bCs w:val="false"/>
              </w:rPr>
              <w:t xml:space="preserve">Primary key</w:t>
            </w:r>
          </w:p>
        </w:tc>
      </w:tr>
      <w:tr>
        <w:tc>
          <w:tcPr>
            <w:tcW w:type="dxa" w:w="3000"/>
          </w:tcPr>
          <w:p>
            <w:r>
              <w:rPr>
                <w:b w:val="false"/>
                <w:bCs w:val="false"/>
              </w:rPr>
              <w:t xml:space="preserve">file_id</w:t>
            </w:r>
          </w:p>
        </w:tc>
        <w:tc>
          <w:tcPr>
            <w:tcW w:type="dxa" w:w="6000"/>
          </w:tcPr>
          <w:p>
            <w:r>
              <w:rPr>
                <w:b w:val="false"/>
                <w:bCs w:val="false"/>
              </w:rPr>
              <w:t xml:space="preserve"/>
            </w:r>
          </w:p>
        </w:tc>
      </w:tr>
      <w:tr>
        <w:tc>
          <w:tcPr>
            <w:tcW w:type="dxa" w:w="3000"/>
          </w:tcPr>
          <w:p>
            <w:r>
              <w:rPr>
                <w:b w:val="false"/>
                <w:bCs w:val="false"/>
              </w:rPr>
              <w:t xml:space="preserve">client_id</w:t>
            </w:r>
          </w:p>
        </w:tc>
        <w:tc>
          <w:tcPr>
            <w:tcW w:type="dxa" w:w="6000"/>
          </w:tcPr>
          <w:p>
            <w:r>
              <w:rPr>
                <w:b w:val="false"/>
                <w:bCs w:val="false"/>
              </w:rPr>
              <w:t xml:space="preserve"/>
            </w:r>
          </w:p>
        </w:tc>
      </w:tr>
      <w:tr>
        <w:tc>
          <w:tcPr>
            <w:tcW w:type="dxa" w:w="3000"/>
          </w:tcPr>
          <w:p>
            <w:r>
              <w:rPr>
                <w:b w:val="false"/>
                <w:bCs w:val="false"/>
              </w:rPr>
              <w:t xml:space="preserve">branch_id</w:t>
            </w:r>
          </w:p>
        </w:tc>
        <w:tc>
          <w:tcPr>
            <w:tcW w:type="dxa" w:w="6000"/>
          </w:tcPr>
          <w:p>
            <w:r>
              <w:rPr>
                <w:b w:val="false"/>
                <w:bCs w:val="false"/>
              </w:rPr>
              <w:t xml:space="preserve"/>
            </w:r>
          </w:p>
        </w:tc>
      </w:tr>
      <w:tr>
        <w:tc>
          <w:tcPr>
            <w:tcW w:type="dxa" w:w="3000"/>
          </w:tcPr>
          <w:p>
            <w:r>
              <w:rPr>
                <w:b w:val="false"/>
                <w:bCs w:val="false"/>
              </w:rPr>
              <w:t xml:space="preserve">invoice_number</w:t>
            </w:r>
          </w:p>
        </w:tc>
        <w:tc>
          <w:tcPr>
            <w:tcW w:type="dxa" w:w="6000"/>
          </w:tcPr>
          <w:p>
            <w:r>
              <w:rPr>
                <w:b w:val="false"/>
                <w:bCs w:val="false"/>
              </w:rPr>
              <w:t xml:space="preserve"/>
            </w:r>
          </w:p>
        </w:tc>
      </w:tr>
      <w:tr>
        <w:tc>
          <w:tcPr>
            <w:tcW w:type="dxa" w:w="3000"/>
          </w:tcPr>
          <w:p>
            <w:r>
              <w:rPr>
                <w:b w:val="false"/>
                <w:bCs w:val="false"/>
              </w:rPr>
              <w:t xml:space="preserve">status</w:t>
            </w:r>
          </w:p>
        </w:tc>
        <w:tc>
          <w:tcPr>
            <w:tcW w:type="dxa" w:w="6000"/>
          </w:tcPr>
          <w:p>
            <w:r>
              <w:rPr>
                <w:b w:val="false"/>
                <w:bCs w:val="false"/>
              </w:rPr>
              <w:t xml:space="preserve">draft, sent, paid, or unpaid</w:t>
            </w:r>
          </w:p>
        </w:tc>
      </w:tr>
      <w:tr>
        <w:tc>
          <w:tcPr>
            <w:tcW w:type="dxa" w:w="3000"/>
          </w:tcPr>
          <w:p>
            <w:r>
              <w:rPr>
                <w:b w:val="false"/>
                <w:bCs w:val="false"/>
              </w:rPr>
              <w:t xml:space="preserve">subtotal</w:t>
            </w:r>
          </w:p>
        </w:tc>
        <w:tc>
          <w:tcPr>
            <w:tcW w:type="dxa" w:w="6000"/>
          </w:tcPr>
          <w:p>
            <w:r>
              <w:rPr>
                <w:b w:val="false"/>
                <w:bCs w:val="false"/>
              </w:rPr>
              <w:t xml:space="preserve"/>
            </w:r>
          </w:p>
        </w:tc>
      </w:tr>
      <w:tr>
        <w:tc>
          <w:tcPr>
            <w:tcW w:type="dxa" w:w="3000"/>
          </w:tcPr>
          <w:p>
            <w:r>
              <w:rPr>
                <w:b w:val="false"/>
                <w:bCs w:val="false"/>
              </w:rPr>
              <w:t xml:space="preserve">total</w:t>
            </w:r>
          </w:p>
        </w:tc>
        <w:tc>
          <w:tcPr>
            <w:tcW w:type="dxa" w:w="6000"/>
          </w:tcPr>
          <w:p>
            <w:r>
              <w:rPr>
                <w:b w:val="false"/>
                <w:bCs w:val="false"/>
              </w:rPr>
              <w:t xml:space="preserve"/>
            </w:r>
          </w:p>
        </w:tc>
      </w:tr>
      <w:tr>
        <w:tc>
          <w:tcPr>
            <w:tcW w:type="dxa" w:w="3000"/>
          </w:tcPr>
          <w:p>
            <w:r>
              <w:rPr>
                <w:b w:val="false"/>
                <w:bCs w:val="false"/>
              </w:rPr>
              <w:t xml:space="preserve">created_at</w:t>
            </w:r>
          </w:p>
        </w:tc>
        <w:tc>
          <w:tcPr>
            <w:tcW w:type="dxa" w:w="6000"/>
          </w:tcPr>
          <w:p>
            <w:r>
              <w:rPr>
                <w:b w:val="false"/>
                <w:bCs w:val="false"/>
              </w:rPr>
              <w:t xml:space="preserve"/>
            </w:r>
          </w:p>
        </w:tc>
      </w:tr>
    </w:tbl>
    <w:p>
      <w:pPr>
        <w:spacing w:after="200"/>
      </w:pPr>
    </w:p>
    <w:p>
      <w:pPr>
        <w:pStyle w:val="Heading2"/>
        <w:spacing w:after="120" w:before="240"/>
      </w:pPr>
      <w:r>
        <w:t xml:space="preserve">6.10 invoice_line_items</w:t>
      </w:r>
    </w:p>
    <w:p>
      <w:pPr>
        <w:spacing w:after="120"/>
      </w:pPr>
      <w:r>
        <w:t xml:space="preserve">The fee_basis field reflects how Kenyan advocates are actually permitted to charge, as set out in section 7 of this document. When rate and hours are filled in, the line item is shown as rate multiplied by hours. When they are not, the line item is shown as a flat description and amount.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D9D9D9" w:val="clear"/>
          </w:tcPr>
          <w:p>
            <w:r>
              <w:rPr>
                <w:b/>
                <w:bCs/>
              </w:rPr>
              <w:t xml:space="preserve">Field</w:t>
            </w:r>
          </w:p>
        </w:tc>
        <w:tc>
          <w:tcPr>
            <w:tcW w:type="dxa" w:w="6000"/>
            <w:shd w:fill="D9D9D9" w:val="clear"/>
          </w:tcPr>
          <w:p>
            <w:r>
              <w:rPr>
                <w:b/>
                <w:bCs/>
              </w:rPr>
              <w:t xml:space="preserve">Notes</w:t>
            </w:r>
          </w:p>
        </w:tc>
      </w:tr>
      <w:tr>
        <w:tc>
          <w:tcPr>
            <w:tcW w:type="dxa" w:w="3000"/>
          </w:tcPr>
          <w:p>
            <w:r>
              <w:rPr>
                <w:b w:val="false"/>
                <w:bCs w:val="false"/>
              </w:rPr>
              <w:t xml:space="preserve">id</w:t>
            </w:r>
          </w:p>
        </w:tc>
        <w:tc>
          <w:tcPr>
            <w:tcW w:type="dxa" w:w="6000"/>
          </w:tcPr>
          <w:p>
            <w:r>
              <w:rPr>
                <w:b w:val="false"/>
                <w:bCs w:val="false"/>
              </w:rPr>
              <w:t xml:space="preserve">Primary key</w:t>
            </w:r>
          </w:p>
        </w:tc>
      </w:tr>
      <w:tr>
        <w:tc>
          <w:tcPr>
            <w:tcW w:type="dxa" w:w="3000"/>
          </w:tcPr>
          <w:p>
            <w:r>
              <w:rPr>
                <w:b w:val="false"/>
                <w:bCs w:val="false"/>
              </w:rPr>
              <w:t xml:space="preserve">invoice_id</w:t>
            </w:r>
          </w:p>
        </w:tc>
        <w:tc>
          <w:tcPr>
            <w:tcW w:type="dxa" w:w="6000"/>
          </w:tcPr>
          <w:p>
            <w:r>
              <w:rPr>
                <w:b w:val="false"/>
                <w:bCs w:val="false"/>
              </w:rPr>
              <w:t xml:space="preserve"/>
            </w:r>
          </w:p>
        </w:tc>
      </w:tr>
      <w:tr>
        <w:tc>
          <w:tcPr>
            <w:tcW w:type="dxa" w:w="3000"/>
          </w:tcPr>
          <w:p>
            <w:r>
              <w:rPr>
                <w:b w:val="false"/>
                <w:bCs w:val="false"/>
              </w:rPr>
              <w:t xml:space="preserve">description</w:t>
            </w:r>
          </w:p>
        </w:tc>
        <w:tc>
          <w:tcPr>
            <w:tcW w:type="dxa" w:w="6000"/>
          </w:tcPr>
          <w:p>
            <w:r>
              <w:rPr>
                <w:b w:val="false"/>
                <w:bCs w:val="false"/>
              </w:rPr>
              <w:t xml:space="preserve"/>
            </w:r>
          </w:p>
        </w:tc>
      </w:tr>
      <w:tr>
        <w:tc>
          <w:tcPr>
            <w:tcW w:type="dxa" w:w="3000"/>
          </w:tcPr>
          <w:p>
            <w:r>
              <w:rPr>
                <w:b w:val="false"/>
                <w:bCs w:val="false"/>
              </w:rPr>
              <w:t xml:space="preserve">fee_basis</w:t>
            </w:r>
          </w:p>
        </w:tc>
        <w:tc>
          <w:tcPr>
            <w:tcW w:type="dxa" w:w="6000"/>
          </w:tcPr>
          <w:p>
            <w:r>
              <w:rPr>
                <w:b w:val="false"/>
                <w:bCs w:val="false"/>
              </w:rPr>
              <w:t xml:space="preserve">fixed, hourly, or percentage_of_value</w:t>
            </w:r>
          </w:p>
        </w:tc>
      </w:tr>
      <w:tr>
        <w:tc>
          <w:tcPr>
            <w:tcW w:type="dxa" w:w="3000"/>
          </w:tcPr>
          <w:p>
            <w:r>
              <w:rPr>
                <w:b w:val="false"/>
                <w:bCs w:val="false"/>
              </w:rPr>
              <w:t xml:space="preserve">rate</w:t>
            </w:r>
          </w:p>
        </w:tc>
        <w:tc>
          <w:tcPr>
            <w:tcW w:type="dxa" w:w="6000"/>
          </w:tcPr>
          <w:p>
            <w:r>
              <w:rPr>
                <w:b w:val="false"/>
                <w:bCs w:val="false"/>
              </w:rPr>
              <w:t xml:space="preserve">Nullable, used for hourly billing</w:t>
            </w:r>
          </w:p>
        </w:tc>
      </w:tr>
      <w:tr>
        <w:tc>
          <w:tcPr>
            <w:tcW w:type="dxa" w:w="3000"/>
          </w:tcPr>
          <w:p>
            <w:r>
              <w:rPr>
                <w:b w:val="false"/>
                <w:bCs w:val="false"/>
              </w:rPr>
              <w:t xml:space="preserve">hours</w:t>
            </w:r>
          </w:p>
        </w:tc>
        <w:tc>
          <w:tcPr>
            <w:tcW w:type="dxa" w:w="6000"/>
          </w:tcPr>
          <w:p>
            <w:r>
              <w:rPr>
                <w:b w:val="false"/>
                <w:bCs w:val="false"/>
              </w:rPr>
              <w:t xml:space="preserve">Nullable, used for hourly billing</w:t>
            </w:r>
          </w:p>
        </w:tc>
      </w:tr>
      <w:tr>
        <w:tc>
          <w:tcPr>
            <w:tcW w:type="dxa" w:w="3000"/>
          </w:tcPr>
          <w:p>
            <w:r>
              <w:rPr>
                <w:b w:val="false"/>
                <w:bCs w:val="false"/>
              </w:rPr>
              <w:t xml:space="preserve">amount</w:t>
            </w:r>
          </w:p>
        </w:tc>
        <w:tc>
          <w:tcPr>
            <w:tcW w:type="dxa" w:w="6000"/>
          </w:tcPr>
          <w:p>
            <w:r>
              <w:rPr>
                <w:b w:val="false"/>
                <w:bCs w:val="false"/>
              </w:rPr>
              <w:t xml:space="preserve"/>
            </w:r>
          </w:p>
        </w:tc>
      </w:tr>
    </w:tbl>
    <w:p>
      <w:pPr>
        <w:pStyle w:val="Heading1"/>
        <w:spacing w:after="150" w:before="300"/>
      </w:pPr>
      <w:r>
        <w:t xml:space="preserve">7. Kenyan Legal and Regulatory Considerations</w:t>
      </w:r>
    </w:p>
    <w:p>
      <w:pPr>
        <w:spacing w:after="120"/>
      </w:pPr>
      <w:r>
        <w:t xml:space="preserve">A lawyer advising on this project pointed the team to two pieces of Kenyan legislation before work began: the Advocates (Remuneration) Order and the Data Protection Act. This section records what was learned from those documents and how it shapes the MVP and the roadmap beyond it.</w:t>
      </w:r>
    </w:p>
    <w:p>
      <w:pPr>
        <w:pStyle w:val="Heading2"/>
        <w:spacing w:after="120" w:before="240"/>
      </w:pPr>
      <w:r>
        <w:t xml:space="preserve">7.1 Advocates (Remuneration) Order</w:t>
      </w:r>
    </w:p>
    <w:p>
      <w:pPr>
        <w:spacing w:after="120"/>
      </w:pPr>
      <w:r>
        <w:t xml:space="preserve">This Order governs how advocates in Kenya are permitted to charge for their work. The following points were noted directly from the Order and are reflected in the fee_basis field on invoice line items.</w:t>
      </w:r>
    </w:p>
    <w:p>
      <w:pPr>
        <w:pStyle w:val="ListParagraph"/>
        <w:numPr>
          <w:ilvl w:val="0"/>
          <w:numId w:val="2"/>
        </w:numPr>
        <w:spacing w:after="60"/>
      </w:pPr>
      <w:r>
        <w:t xml:space="preserve">Non-contentious matters, such as property sales, mortgages, and company formation, are billed as a percentage of transaction value, on tiered brackets. For example, property sales and purchases are billed at 2 percent up to KSh 5,000,000, with declining percentages on the balance above that.</w:t>
      </w:r>
    </w:p>
    <w:p>
      <w:pPr>
        <w:pStyle w:val="ListParagraph"/>
        <w:numPr>
          <w:ilvl w:val="0"/>
          <w:numId w:val="2"/>
        </w:numPr>
        <w:spacing w:after="60"/>
      </w:pPr>
      <w:r>
        <w:t xml:space="preserve">Leases are billed as a percentage of annual rent, not property value.</w:t>
      </w:r>
    </w:p>
    <w:p>
      <w:pPr>
        <w:pStyle w:val="ListParagraph"/>
        <w:numPr>
          <w:ilvl w:val="0"/>
          <w:numId w:val="2"/>
        </w:numPr>
        <w:spacing w:after="60"/>
      </w:pPr>
      <w:r>
        <w:t xml:space="preserve">Company formation, trademarks, and patents have flat statutory fees set per instruction type.</w:t>
      </w:r>
    </w:p>
    <w:p>
      <w:pPr>
        <w:pStyle w:val="ListParagraph"/>
        <w:numPr>
          <w:ilvl w:val="0"/>
          <w:numId w:val="2"/>
        </w:numPr>
        <w:spacing w:after="60"/>
      </w:pPr>
      <w:r>
        <w:t xml:space="preserve">Litigation matters in the High Court, subordinate courts, and tribunals use bracket based instruction fees tied to the amount claimed or awarded, plus separate line items for attendances, drawing documents, perusals, and service.</w:t>
      </w:r>
    </w:p>
    <w:p>
      <w:pPr>
        <w:pStyle w:val="ListParagraph"/>
        <w:numPr>
          <w:ilvl w:val="0"/>
          <w:numId w:val="2"/>
        </w:numPr>
        <w:spacing w:after="60"/>
      </w:pPr>
      <w:r>
        <w:t xml:space="preserve">General or miscellaneous work not covered by the other categories can be billed at an agreed hourly rate. This is the one billing case the original rate times hours model directly fits.</w:t>
      </w:r>
    </w:p>
    <w:p>
      <w:pPr>
        <w:pStyle w:val="ListParagraph"/>
        <w:numPr>
          <w:ilvl w:val="0"/>
          <w:numId w:val="2"/>
        </w:numPr>
        <w:spacing w:after="60"/>
      </w:pPr>
      <w:r>
        <w:t xml:space="preserve">There is a statutory minimum. Advocates cannot agree to charge less than the scale fee for most matter types.</w:t>
      </w:r>
    </w:p>
    <w:p>
      <w:pPr>
        <w:spacing w:after="120"/>
      </w:pPr>
      <w:r>
        <w:t xml:space="preserve">For the MVP, the invoicing module supports fixed, hourly, and percentage of value billing at the data model level, but does not attempt to encode all fee schedules from the Order. A stated roadmap item is a fee calculator for one matter type, most likely property conveyancing, since its fee brackets are the simplest to implement.</w:t>
      </w:r>
    </w:p>
    <w:p>
      <w:pPr>
        <w:pStyle w:val="Heading2"/>
        <w:spacing w:after="120" w:before="240"/>
      </w:pPr>
      <w:r>
        <w:t xml:space="preserve">7.2 Data Protection Act</w:t>
      </w:r>
    </w:p>
    <w:p>
      <w:pPr>
        <w:spacing w:after="120"/>
      </w:pPr>
      <w:r>
        <w:t xml:space="preserve">This Act regulates how personal data is collected, processed, and stored in Kenya. The following points were noted directly from the Act.</w:t>
      </w:r>
    </w:p>
    <w:p>
      <w:pPr>
        <w:pStyle w:val="ListParagraph"/>
        <w:numPr>
          <w:ilvl w:val="0"/>
          <w:numId w:val="2"/>
        </w:numPr>
        <w:spacing w:after="60"/>
      </w:pPr>
      <w:r>
        <w:t xml:space="preserve">Sensitive personal data is defined broadly and explicitly includes marital status, family details (including the names of a person's children, parents, and spouse), and property details. Much of what a law firm records, particularly in family law, probate, or property matters, falls under this definition.</w:t>
      </w:r>
    </w:p>
    <w:p>
      <w:pPr>
        <w:pStyle w:val="ListParagraph"/>
        <w:numPr>
          <w:ilvl w:val="0"/>
          <w:numId w:val="2"/>
        </w:numPr>
        <w:spacing w:after="60"/>
      </w:pPr>
      <w:r>
        <w:t xml:space="preserve">Data controllers and processors must inform data subjects, before collection, what data is being collected, why, and who it may be shared with.</w:t>
      </w:r>
    </w:p>
    <w:p>
      <w:pPr>
        <w:pStyle w:val="ListParagraph"/>
        <w:numPr>
          <w:ilvl w:val="0"/>
          <w:numId w:val="2"/>
        </w:numPr>
        <w:spacing w:after="60"/>
      </w:pPr>
      <w:r>
        <w:t xml:space="preserve">Personal data must be adequate, relevant, and limited to what is necessary for the purpose it is collected for.</w:t>
      </w:r>
    </w:p>
    <w:p>
      <w:pPr>
        <w:pStyle w:val="ListParagraph"/>
        <w:numPr>
          <w:ilvl w:val="0"/>
          <w:numId w:val="2"/>
        </w:numPr>
        <w:spacing w:after="60"/>
      </w:pPr>
      <w:r>
        <w:t xml:space="preserve">Personal data should be retained only as long as reasonably necessary for its purpose, though retention required by other law, such as the six year record keeping requirement in the Advocates (Accounts) Rules, is a lawful basis for keeping it that long.</w:t>
      </w:r>
    </w:p>
    <w:p>
      <w:pPr>
        <w:pStyle w:val="ListParagraph"/>
        <w:numPr>
          <w:ilvl w:val="0"/>
          <w:numId w:val="2"/>
        </w:numPr>
        <w:spacing w:after="60"/>
      </w:pPr>
      <w:r>
        <w:t xml:space="preserve">Transferring personal data outside Kenya requires proof of adequate safeguards or the data subject's consent.</w:t>
      </w:r>
    </w:p>
    <w:p>
      <w:pPr>
        <w:pStyle w:val="ListParagraph"/>
        <w:numPr>
          <w:ilvl w:val="0"/>
          <w:numId w:val="2"/>
        </w:numPr>
        <w:spacing w:after="60"/>
      </w:pPr>
      <w:r>
        <w:t xml:space="preserve">A data breach must be notified to the Data Commissioner within 72 hours of the controller becoming aware of it, and to affected individuals within a reasonable period.</w:t>
      </w:r>
    </w:p>
    <w:p>
      <w:pPr>
        <w:pStyle w:val="ListParagraph"/>
        <w:numPr>
          <w:ilvl w:val="0"/>
          <w:numId w:val="2"/>
        </w:numPr>
        <w:spacing w:after="60"/>
      </w:pPr>
      <w:r>
        <w:t xml:space="preserve">Data controllers and processors above certain thresholds must register with the Office of the Data Protection Commissioner.</w:t>
      </w:r>
    </w:p>
    <w:p>
      <w:pPr>
        <w:spacing w:after="120"/>
      </w:pPr>
      <w:r>
        <w:t xml:space="preserve">Because the MVP uses fake, seeded data rather than real client data, these obligations are not triggered during the demo phase. They become relevant the moment real client data is entered into the system, which is why they are recorded here ahead of that point rather than after it.</w:t>
      </w:r>
    </w:p>
    <w:p>
      <w:pPr>
        <w:pStyle w:val="Heading2"/>
        <w:spacing w:after="120" w:before="240"/>
      </w:pPr>
      <w:r>
        <w:t xml:space="preserve">7.3 Compliance Posture Statement</w:t>
      </w:r>
    </w:p>
    <w:p>
      <w:pPr>
        <w:spacing w:after="120"/>
      </w:pPr>
      <w:r>
        <w:t xml:space="preserve">The following statement is intended to be shared with the firm directly, either in the PRD or when presenting the MVP:</w:t>
      </w:r>
    </w:p>
    <w:p>
      <w:pPr>
        <w:spacing w:after="200"/>
        <w:ind w:left="431"/>
      </w:pPr>
      <w:r>
        <w:rPr>
          <w:i/>
          <w:iCs/>
        </w:rPr>
        <w:t xml:space="preserve">This MVP is a demonstration of workflow and technical capability, not a production compliant system. Before this could handle real client data, the following would need to be addressed: a data retention policy aligned with the six year Advocates (Accounts) Rules requirement, a hosting location or documented cross border transfer safeguards under the Data Protection Act, breach notification procedures, and a formal data protection impact assessment. These are being flagged now, before any real client data is entered, rather than after the fact.</w:t>
      </w:r>
    </w:p>
    <w:p>
      <w:pPr>
        <w:pStyle w:val="Heading1"/>
        <w:spacing w:after="150" w:before="300"/>
      </w:pPr>
      <w:r>
        <w:t xml:space="preserve">8. What the MVP Does to Support This Now</w:t>
      </w:r>
    </w:p>
    <w:p>
      <w:pPr>
        <w:pStyle w:val="ListParagraph"/>
        <w:numPr>
          <w:ilvl w:val="0"/>
          <w:numId w:val="2"/>
        </w:numPr>
        <w:spacing w:after="60"/>
      </w:pPr>
      <w:r>
        <w:t xml:space="preserve">Client and file fields are kept minimal and are only added when there is a clear reason for them, in line with the data minimization principle in the Data Protection Act.</w:t>
      </w:r>
    </w:p>
    <w:p>
      <w:pPr>
        <w:pStyle w:val="ListParagraph"/>
        <w:numPr>
          <w:ilvl w:val="0"/>
          <w:numId w:val="2"/>
        </w:numPr>
        <w:spacing w:after="60"/>
      </w:pPr>
      <w:r>
        <w:t xml:space="preserve">Records carry created_by, updated_by, and timestamp fields, giving a basic trail of who touched what data.</w:t>
      </w:r>
    </w:p>
    <w:p>
      <w:pPr>
        <w:pStyle w:val="ListParagraph"/>
        <w:numPr>
          <w:ilvl w:val="0"/>
          <w:numId w:val="2"/>
        </w:numPr>
        <w:spacing w:after="60"/>
      </w:pPr>
      <w:r>
        <w:t xml:space="preserve">Admin and staff roles are separated by design, which limits who can see what data.</w:t>
      </w:r>
    </w:p>
    <w:p>
      <w:pPr>
        <w:pStyle w:val="ListParagraph"/>
        <w:numPr>
          <w:ilvl w:val="0"/>
          <w:numId w:val="2"/>
        </w:numPr>
        <w:spacing w:after="60"/>
      </w:pPr>
      <w:r>
        <w:t xml:space="preserve">Seed data for the demo is fake and does not use real client or firm names, including names from any firm referenced during research for this project.</w:t>
      </w:r>
    </w:p>
    <w:p>
      <w:pPr>
        <w:pStyle w:val="Heading1"/>
        <w:spacing w:after="150" w:before="300"/>
      </w:pPr>
      <w:r>
        <w:t xml:space="preserve">9. Out of Scope for the MVP</w:t>
      </w:r>
    </w:p>
    <w:p>
      <w:pPr>
        <w:pStyle w:val="ListParagraph"/>
        <w:numPr>
          <w:ilvl w:val="0"/>
          <w:numId w:val="2"/>
        </w:numPr>
        <w:spacing w:after="60"/>
      </w:pPr>
      <w:r>
        <w:t xml:space="preserve">Client portal or any client facing login.</w:t>
      </w:r>
    </w:p>
    <w:p>
      <w:pPr>
        <w:pStyle w:val="ListParagraph"/>
        <w:numPr>
          <w:ilvl w:val="0"/>
          <w:numId w:val="2"/>
        </w:numPr>
        <w:spacing w:after="60"/>
      </w:pPr>
      <w:r>
        <w:t xml:space="preserve">Accounting and financial statements beyond basic invoicing.</w:t>
      </w:r>
    </w:p>
    <w:p>
      <w:pPr>
        <w:pStyle w:val="ListParagraph"/>
        <w:numPr>
          <w:ilvl w:val="0"/>
          <w:numId w:val="2"/>
        </w:numPr>
        <w:spacing w:after="60"/>
      </w:pPr>
      <w:r>
        <w:t xml:space="preserve">HR and payroll.</w:t>
      </w:r>
    </w:p>
    <w:p>
      <w:pPr>
        <w:pStyle w:val="ListParagraph"/>
        <w:numPr>
          <w:ilvl w:val="0"/>
          <w:numId w:val="2"/>
        </w:numPr>
        <w:spacing w:after="60"/>
      </w:pPr>
      <w:r>
        <w:t xml:space="preserve">Multi currency support.</w:t>
      </w:r>
    </w:p>
    <w:p>
      <w:pPr>
        <w:pStyle w:val="ListParagraph"/>
        <w:numPr>
          <w:ilvl w:val="0"/>
          <w:numId w:val="2"/>
        </w:numPr>
        <w:spacing w:after="60"/>
      </w:pPr>
      <w:r>
        <w:t xml:space="preserve">Electronic signatures.</w:t>
      </w:r>
    </w:p>
    <w:p>
      <w:pPr>
        <w:pStyle w:val="ListParagraph"/>
        <w:numPr>
          <w:ilvl w:val="0"/>
          <w:numId w:val="2"/>
        </w:numPr>
        <w:spacing w:after="60"/>
      </w:pPr>
      <w:r>
        <w:t xml:space="preserve">Granular, fully built role based permissions beyond the admin and staff distinction.</w:t>
      </w:r>
    </w:p>
    <w:p>
      <w:pPr>
        <w:pStyle w:val="ListParagraph"/>
        <w:numPr>
          <w:ilvl w:val="0"/>
          <w:numId w:val="2"/>
        </w:numPr>
        <w:spacing w:after="60"/>
      </w:pPr>
      <w:r>
        <w:t xml:space="preserve">Automated email notification engine.</w:t>
      </w:r>
    </w:p>
    <w:p>
      <w:pPr>
        <w:pStyle w:val="ListParagraph"/>
        <w:numPr>
          <w:ilvl w:val="0"/>
          <w:numId w:val="2"/>
        </w:numPr>
        <w:spacing w:after="60"/>
      </w:pPr>
      <w:r>
        <w:t xml:space="preserve">Trust or client account accounting as described in the Advocates (Accounts) Rules.</w:t>
      </w:r>
    </w:p>
    <w:p>
      <w:pPr>
        <w:pStyle w:val="ListParagraph"/>
        <w:numPr>
          <w:ilvl w:val="0"/>
          <w:numId w:val="2"/>
        </w:numPr>
        <w:spacing w:after="60"/>
      </w:pPr>
      <w:r>
        <w:t xml:space="preserve">Full implementation of every fee schedule in the Advocates (Remuneration) Order.</w:t>
      </w:r>
    </w:p>
    <w:p>
      <w:pPr>
        <w:pStyle w:val="ListParagraph"/>
        <w:numPr>
          <w:ilvl w:val="0"/>
          <w:numId w:val="2"/>
        </w:numPr>
        <w:spacing w:after="60"/>
      </w:pPr>
      <w:r>
        <w:t xml:space="preserve">Data retention policy, breach notification procedure, and cross border data transfer safeguards under the Data Protection Act.</w:t>
      </w:r>
    </w:p>
    <w:p>
      <w:pPr>
        <w:pStyle w:val="ListParagraph"/>
        <w:numPr>
          <w:ilvl w:val="0"/>
          <w:numId w:val="2"/>
        </w:numPr>
        <w:spacing w:after="60"/>
      </w:pPr>
      <w:r>
        <w:t xml:space="preserve">Data controller or processor registration with the Office of the Data Protection Commissioner.</w:t>
      </w:r>
    </w:p>
    <w:p>
      <w:pPr>
        <w:pStyle w:val="Heading1"/>
        <w:spacing w:after="150" w:before="300"/>
      </w:pPr>
      <w:r>
        <w:t xml:space="preserve">10. Suggested Timeline (1 to 2 weeks)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shd w:fill="D9D9D9" w:val="clear"/>
          </w:tcPr>
          <w:p>
            <w:r>
              <w:rPr>
                <w:b/>
                <w:bCs/>
              </w:rPr>
              <w:t xml:space="preserve">Days</w:t>
            </w:r>
          </w:p>
        </w:tc>
        <w:tc>
          <w:tcPr>
            <w:tcW w:type="dxa" w:w="7000"/>
            <w:shd w:fill="D9D9D9" w:val="clear"/>
          </w:tcPr>
          <w:p>
            <w:r>
              <w:rPr>
                <w:b/>
                <w:bCs/>
              </w:rPr>
              <w:t xml:space="preserve">Focus</w:t>
            </w:r>
          </w:p>
        </w:tc>
      </w:tr>
      <w:tr>
        <w:tc>
          <w:tcPr>
            <w:tcW w:type="dxa" w:w="2000"/>
          </w:tcPr>
          <w:p>
            <w:r>
              <w:rPr>
                <w:b w:val="false"/>
                <w:bCs w:val="false"/>
              </w:rPr>
              <w:t xml:space="preserve">1 to 2</w:t>
            </w:r>
          </w:p>
        </w:tc>
        <w:tc>
          <w:tcPr>
            <w:tcW w:type="dxa" w:w="7000"/>
          </w:tcPr>
          <w:p>
            <w:r>
              <w:rPr>
                <w:b w:val="false"/>
                <w:bCs w:val="false"/>
              </w:rPr>
              <w:t xml:space="preserve">Data model for all entities and authentication</w:t>
            </w:r>
          </w:p>
        </w:tc>
      </w:tr>
      <w:tr>
        <w:tc>
          <w:tcPr>
            <w:tcW w:type="dxa" w:w="2000"/>
          </w:tcPr>
          <w:p>
            <w:r>
              <w:rPr>
                <w:b w:val="false"/>
                <w:bCs w:val="false"/>
              </w:rPr>
              <w:t xml:space="preserve">3 to 5</w:t>
            </w:r>
          </w:p>
        </w:tc>
        <w:tc>
          <w:tcPr>
            <w:tcW w:type="dxa" w:w="7000"/>
          </w:tcPr>
          <w:p>
            <w:r>
              <w:rPr>
                <w:b w:val="false"/>
                <w:bCs w:val="false"/>
              </w:rPr>
              <w:t xml:space="preserve">Client and file CRUD, bring ups, dashboard</w:t>
            </w:r>
          </w:p>
        </w:tc>
      </w:tr>
      <w:tr>
        <w:tc>
          <w:tcPr>
            <w:tcW w:type="dxa" w:w="2000"/>
          </w:tcPr>
          <w:p>
            <w:r>
              <w:rPr>
                <w:b w:val="false"/>
                <w:bCs w:val="false"/>
              </w:rPr>
              <w:t xml:space="preserve">6 to 7</w:t>
            </w:r>
          </w:p>
        </w:tc>
        <w:tc>
          <w:tcPr>
            <w:tcW w:type="dxa" w:w="7000"/>
          </w:tcPr>
          <w:p>
            <w:r>
              <w:rPr>
                <w:b w:val="false"/>
                <w:bCs w:val="false"/>
              </w:rPr>
              <w:t xml:space="preserve">Document upload</w:t>
            </w:r>
          </w:p>
        </w:tc>
      </w:tr>
      <w:tr>
        <w:tc>
          <w:tcPr>
            <w:tcW w:type="dxa" w:w="2000"/>
          </w:tcPr>
          <w:p>
            <w:r>
              <w:rPr>
                <w:b w:val="false"/>
                <w:bCs w:val="false"/>
              </w:rPr>
              <w:t xml:space="preserve">8 to 9</w:t>
            </w:r>
          </w:p>
        </w:tc>
        <w:tc>
          <w:tcPr>
            <w:tcW w:type="dxa" w:w="7000"/>
          </w:tcPr>
          <w:p>
            <w:r>
              <w:rPr>
                <w:b w:val="false"/>
                <w:bCs w:val="false"/>
              </w:rPr>
              <w:t xml:space="preserve">Calendar view</w:t>
            </w:r>
          </w:p>
        </w:tc>
      </w:tr>
      <w:tr>
        <w:tc>
          <w:tcPr>
            <w:tcW w:type="dxa" w:w="2000"/>
          </w:tcPr>
          <w:p>
            <w:r>
              <w:rPr>
                <w:b w:val="false"/>
                <w:bCs w:val="false"/>
              </w:rPr>
              <w:t xml:space="preserve">10 to 11</w:t>
            </w:r>
          </w:p>
        </w:tc>
        <w:tc>
          <w:tcPr>
            <w:tcW w:type="dxa" w:w="7000"/>
          </w:tcPr>
          <w:p>
            <w:r>
              <w:rPr>
                <w:b w:val="false"/>
                <w:bCs w:val="false"/>
              </w:rPr>
              <w:t xml:space="preserve">Invoice creation and PDF export</w:t>
            </w:r>
          </w:p>
        </w:tc>
      </w:tr>
      <w:tr>
        <w:tc>
          <w:tcPr>
            <w:tcW w:type="dxa" w:w="2000"/>
          </w:tcPr>
          <w:p>
            <w:r>
              <w:rPr>
                <w:b w:val="false"/>
                <w:bCs w:val="false"/>
              </w:rPr>
              <w:t xml:space="preserve">12 to 13</w:t>
            </w:r>
          </w:p>
        </w:tc>
        <w:tc>
          <w:tcPr>
            <w:tcW w:type="dxa" w:w="7000"/>
          </w:tcPr>
          <w:p>
            <w:r>
              <w:rPr>
                <w:b w:val="false"/>
                <w:bCs w:val="false"/>
              </w:rPr>
              <w:t xml:space="preserve">Polish and seed realistic fake data</w:t>
            </w:r>
          </w:p>
        </w:tc>
      </w:tr>
      <w:tr>
        <w:tc>
          <w:tcPr>
            <w:tcW w:type="dxa" w:w="2000"/>
          </w:tcPr>
          <w:p>
            <w:r>
              <w:rPr>
                <w:b w:val="false"/>
                <w:bCs w:val="false"/>
              </w:rPr>
              <w:t xml:space="preserve">14</w:t>
            </w:r>
          </w:p>
        </w:tc>
        <w:tc>
          <w:tcPr>
            <w:tcW w:type="dxa" w:w="7000"/>
          </w:tcPr>
          <w:p>
            <w:r>
              <w:rPr>
                <w:b w:val="false"/>
                <w:bCs w:val="false"/>
              </w:rPr>
              <w:t xml:space="preserve">Buffer and demo rehearsal</w:t>
            </w:r>
          </w:p>
        </w:tc>
      </w:tr>
    </w:tbl>
    <w:p>
      <w:pPr>
        <w:pStyle w:val="Heading1"/>
        <w:spacing w:after="150" w:before="300"/>
      </w:pPr>
      <w:r>
        <w:t xml:space="preserve">11. Proposed Tech Stack</w:t>
      </w:r>
    </w:p>
    <w:p>
      <w:pPr>
        <w:spacing w:after="120"/>
      </w:pPr>
      <w:r>
        <w:t xml:space="preserve">The stack below is chosen for build speed within the one to two week window, while still supporting authentication, role based access, file storage, and PDF generation without standing up separate services for each.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00"/>
      </w:tblGrid>
      <w:tr>
        <w:tc>
          <w:tcPr>
            <w:tcW w:type="dxa" w:w="2200"/>
            <w:shd w:fill="D9D9D9" w:val="clear"/>
          </w:tcPr>
          <w:p>
            <w:r>
              <w:rPr>
                <w:b/>
                <w:bCs/>
              </w:rPr>
              <w:t xml:space="preserve">Layer</w:t>
            </w:r>
          </w:p>
        </w:tc>
        <w:tc>
          <w:tcPr>
            <w:tcW w:type="dxa" w:w="3300"/>
            <w:shd w:fill="D9D9D9" w:val="clear"/>
          </w:tcPr>
          <w:p>
            <w:r>
              <w:rPr>
                <w:b/>
                <w:bCs/>
              </w:rPr>
              <w:t xml:space="preserve">Choice</w:t>
            </w:r>
          </w:p>
        </w:tc>
        <w:tc>
          <w:tcPr>
            <w:tcW w:type="dxa" w:w="3500"/>
            <w:shd w:fill="D9D9D9" w:val="clear"/>
          </w:tcPr>
          <w:p>
            <w:r>
              <w:rPr>
                <w:b/>
                <w:bCs/>
              </w:rPr>
              <w:t xml:space="preserve">Reason</w:t>
            </w:r>
          </w:p>
        </w:tc>
      </w:tr>
      <w:tr>
        <w:tc>
          <w:tcPr>
            <w:tcW w:type="dxa" w:w="2200"/>
          </w:tcPr>
          <w:p>
            <w:r>
              <w:rPr>
                <w:b w:val="false"/>
                <w:bCs w:val="false"/>
              </w:rPr>
              <w:t xml:space="preserve">Frontend and backend</w:t>
            </w:r>
          </w:p>
        </w:tc>
        <w:tc>
          <w:tcPr>
            <w:tcW w:type="dxa" w:w="3300"/>
          </w:tcPr>
          <w:p>
            <w:r>
              <w:rPr>
                <w:b w:val="false"/>
                <w:bCs w:val="false"/>
              </w:rPr>
              <w:t xml:space="preserve">Next.js (App Router)</w:t>
            </w:r>
          </w:p>
        </w:tc>
        <w:tc>
          <w:tcPr>
            <w:tcW w:type="dxa" w:w="3500"/>
          </w:tcPr>
          <w:p>
            <w:r>
              <w:rPr>
                <w:b w:val="false"/>
                <w:bCs w:val="false"/>
              </w:rPr>
              <w:t xml:space="preserve">One codebase for both, fast to scaffold CRUD screens, works on desktop and mobile browsers</w:t>
            </w:r>
          </w:p>
        </w:tc>
      </w:tr>
      <w:tr>
        <w:tc>
          <w:tcPr>
            <w:tcW w:type="dxa" w:w="2200"/>
          </w:tcPr>
          <w:p>
            <w:r>
              <w:rPr>
                <w:b w:val="false"/>
                <w:bCs w:val="false"/>
              </w:rPr>
              <w:t xml:space="preserve">Database</w:t>
            </w:r>
          </w:p>
        </w:tc>
        <w:tc>
          <w:tcPr>
            <w:tcW w:type="dxa" w:w="3300"/>
          </w:tcPr>
          <w:p>
            <w:r>
              <w:rPr>
                <w:b w:val="false"/>
                <w:bCs w:val="false"/>
              </w:rPr>
              <w:t xml:space="preserve">PostgreSQL via Supabase</w:t>
            </w:r>
          </w:p>
        </w:tc>
        <w:tc>
          <w:tcPr>
            <w:tcW w:type="dxa" w:w="3500"/>
          </w:tcPr>
          <w:p>
            <w:r>
              <w:rPr>
                <w:b w:val="false"/>
                <w:bCs w:val="false"/>
              </w:rPr>
              <w:t xml:space="preserve">Database, authentication, and file storage in one service</w:t>
            </w:r>
          </w:p>
        </w:tc>
      </w:tr>
      <w:tr>
        <w:tc>
          <w:tcPr>
            <w:tcW w:type="dxa" w:w="2200"/>
          </w:tcPr>
          <w:p>
            <w:r>
              <w:rPr>
                <w:b w:val="false"/>
                <w:bCs w:val="false"/>
              </w:rPr>
              <w:t xml:space="preserve">Authentication</w:t>
            </w:r>
          </w:p>
        </w:tc>
        <w:tc>
          <w:tcPr>
            <w:tcW w:type="dxa" w:w="3300"/>
          </w:tcPr>
          <w:p>
            <w:r>
              <w:rPr>
                <w:b w:val="false"/>
                <w:bCs w:val="false"/>
              </w:rPr>
              <w:t xml:space="preserve">Supabase Auth</w:t>
            </w:r>
          </w:p>
        </w:tc>
        <w:tc>
          <w:tcPr>
            <w:tcW w:type="dxa" w:w="3500"/>
          </w:tcPr>
          <w:p>
            <w:r>
              <w:rPr>
                <w:b w:val="false"/>
                <w:bCs w:val="false"/>
              </w:rPr>
              <w:t xml:space="preserve">Email and password login is enough for the demo</w:t>
            </w:r>
          </w:p>
        </w:tc>
      </w:tr>
      <w:tr>
        <w:tc>
          <w:tcPr>
            <w:tcW w:type="dxa" w:w="2200"/>
          </w:tcPr>
          <w:p>
            <w:r>
              <w:rPr>
                <w:b w:val="false"/>
                <w:bCs w:val="false"/>
              </w:rPr>
              <w:t xml:space="preserve">File storage</w:t>
            </w:r>
          </w:p>
        </w:tc>
        <w:tc>
          <w:tcPr>
            <w:tcW w:type="dxa" w:w="3300"/>
          </w:tcPr>
          <w:p>
            <w:r>
              <w:rPr>
                <w:b w:val="false"/>
                <w:bCs w:val="false"/>
              </w:rPr>
              <w:t xml:space="preserve">Supabase Storage</w:t>
            </w:r>
          </w:p>
        </w:tc>
        <w:tc>
          <w:tcPr>
            <w:tcW w:type="dxa" w:w="3500"/>
          </w:tcPr>
          <w:p>
            <w:r>
              <w:rPr>
                <w:b w:val="false"/>
                <w:bCs w:val="false"/>
              </w:rPr>
              <w:t xml:space="preserve">Handles document uploads for the document management module directly</w:t>
            </w:r>
          </w:p>
        </w:tc>
      </w:tr>
      <w:tr>
        <w:tc>
          <w:tcPr>
            <w:tcW w:type="dxa" w:w="2200"/>
          </w:tcPr>
          <w:p>
            <w:r>
              <w:rPr>
                <w:b w:val="false"/>
                <w:bCs w:val="false"/>
              </w:rPr>
              <w:t xml:space="preserve">UI components</w:t>
            </w:r>
          </w:p>
        </w:tc>
        <w:tc>
          <w:tcPr>
            <w:tcW w:type="dxa" w:w="3300"/>
          </w:tcPr>
          <w:p>
            <w:r>
              <w:rPr>
                <w:b w:val="false"/>
                <w:bCs w:val="false"/>
              </w:rPr>
              <w:t xml:space="preserve">Tailwind CSS with shadcn or ui</w:t>
            </w:r>
          </w:p>
        </w:tc>
        <w:tc>
          <w:tcPr>
            <w:tcW w:type="dxa" w:w="3500"/>
          </w:tcPr>
          <w:p>
            <w:r>
              <w:rPr>
                <w:b w:val="false"/>
                <w:bCs w:val="false"/>
              </w:rPr>
              <w:t xml:space="preserve">Fast to build clean screens without designing from scratch</w:t>
            </w:r>
          </w:p>
        </w:tc>
      </w:tr>
      <w:tr>
        <w:tc>
          <w:tcPr>
            <w:tcW w:type="dxa" w:w="2200"/>
          </w:tcPr>
          <w:p>
            <w:r>
              <w:rPr>
                <w:b w:val="false"/>
                <w:bCs w:val="false"/>
              </w:rPr>
              <w:t xml:space="preserve">PDF generation</w:t>
            </w:r>
          </w:p>
        </w:tc>
        <w:tc>
          <w:tcPr>
            <w:tcW w:type="dxa" w:w="3300"/>
          </w:tcPr>
          <w:p>
            <w:r>
              <w:rPr>
                <w:b w:val="false"/>
                <w:bCs w:val="false"/>
              </w:rPr>
              <w:t xml:space="preserve">react-pdf/renderer or pdf-lib</w:t>
            </w:r>
          </w:p>
        </w:tc>
        <w:tc>
          <w:tcPr>
            <w:tcW w:type="dxa" w:w="3500"/>
          </w:tcPr>
          <w:p>
            <w:r>
              <w:rPr>
                <w:b w:val="false"/>
                <w:bCs w:val="false"/>
              </w:rPr>
              <w:t xml:space="preserve">Generates the invoice PDF export from a Next.js API route</w:t>
            </w:r>
          </w:p>
        </w:tc>
      </w:tr>
      <w:tr>
        <w:tc>
          <w:tcPr>
            <w:tcW w:type="dxa" w:w="2200"/>
          </w:tcPr>
          <w:p>
            <w:r>
              <w:rPr>
                <w:b w:val="false"/>
                <w:bCs w:val="false"/>
              </w:rPr>
              <w:t xml:space="preserve">Calendar view</w:t>
            </w:r>
          </w:p>
        </w:tc>
        <w:tc>
          <w:tcPr>
            <w:tcW w:type="dxa" w:w="3300"/>
          </w:tcPr>
          <w:p>
            <w:r>
              <w:rPr>
                <w:b w:val="false"/>
                <w:bCs w:val="false"/>
              </w:rPr>
              <w:t xml:space="preserve">react-big-calendar</w:t>
            </w:r>
          </w:p>
        </w:tc>
        <w:tc>
          <w:tcPr>
            <w:tcW w:type="dxa" w:w="3500"/>
          </w:tcPr>
          <w:p>
            <w:r>
              <w:rPr>
                <w:b w:val="false"/>
                <w:bCs w:val="false"/>
              </w:rPr>
              <w:t xml:space="preserve">Ready made date grid rather than building one from scratch</w:t>
            </w:r>
          </w:p>
        </w:tc>
      </w:tr>
      <w:tr>
        <w:tc>
          <w:tcPr>
            <w:tcW w:type="dxa" w:w="2200"/>
          </w:tcPr>
          <w:p>
            <w:r>
              <w:rPr>
                <w:b w:val="false"/>
                <w:bCs w:val="false"/>
              </w:rPr>
              <w:t xml:space="preserve">Hosting</w:t>
            </w:r>
          </w:p>
        </w:tc>
        <w:tc>
          <w:tcPr>
            <w:tcW w:type="dxa" w:w="3300"/>
          </w:tcPr>
          <w:p>
            <w:r>
              <w:rPr>
                <w:b w:val="false"/>
                <w:bCs w:val="false"/>
              </w:rPr>
              <w:t xml:space="preserve">Vercel for the app, Supabase for the database</w:t>
            </w:r>
          </w:p>
        </w:tc>
        <w:tc>
          <w:tcPr>
            <w:tcW w:type="dxa" w:w="3500"/>
          </w:tcPr>
          <w:p>
            <w:r>
              <w:rPr>
                <w:b w:val="false"/>
                <w:bCs w:val="false"/>
              </w:rPr>
              <w:t xml:space="preserve">Both have free tiers sufficient for a demo</w:t>
            </w:r>
          </w:p>
        </w:tc>
      </w:tr>
    </w:tbl>
    <w:p>
      <w:pPr>
        <w:pStyle w:val="Heading2"/>
        <w:spacing w:after="120" w:before="240"/>
      </w:pPr>
      <w:r>
        <w:t xml:space="preserve">11.1 Why This Combination</w:t>
      </w:r>
    </w:p>
    <w:p>
      <w:pPr>
        <w:pStyle w:val="ListParagraph"/>
        <w:numPr>
          <w:ilvl w:val="0"/>
          <w:numId w:val="2"/>
        </w:numPr>
        <w:spacing w:after="60"/>
      </w:pPr>
      <w:r>
        <w:t xml:space="preserve">Supabase's row level security maps onto the branch scoping requirement directly, so staff see only their branch's data and admin sees all branches, without hand rolling permission middleware.</w:t>
      </w:r>
    </w:p>
    <w:p>
      <w:pPr>
        <w:pStyle w:val="ListParagraph"/>
        <w:numPr>
          <w:ilvl w:val="0"/>
          <w:numId w:val="2"/>
        </w:numPr>
        <w:spacing w:after="60"/>
      </w:pPr>
      <w:r>
        <w:t xml:space="preserve">Auth, database, and storage being one service removes a significant amount of setup time from the data model and authentication work planned for days 1 and 2 of the timeline.</w:t>
      </w:r>
    </w:p>
    <w:p>
      <w:pPr>
        <w:pStyle w:val="ListParagraph"/>
        <w:numPr>
          <w:ilvl w:val="0"/>
          <w:numId w:val="2"/>
        </w:numPr>
        <w:spacing w:after="60"/>
      </w:pPr>
      <w:r>
        <w:t xml:space="preserve">Next.js API routes handle PDF generation and other server logic without a separate backend service.</w:t>
      </w:r>
    </w:p>
    <w:p>
      <w:pPr>
        <w:pStyle w:val="Heading2"/>
        <w:spacing w:after="120" w:before="240"/>
      </w:pPr>
      <w:r>
        <w:t xml:space="preserve">11.2 Tradeoff to Flag</w:t>
      </w:r>
    </w:p>
    <w:p>
      <w:pPr>
        <w:spacing w:after="120"/>
      </w:pPr>
      <w:r>
        <w:t xml:space="preserve">Supabase's hosting is not located in Kenya, which is relevant to the cross border data transfer point raised in section 7.2 of this document. This does not matter for the demo, since it uses fake data. If this project moves toward production with real client data, hosting location becomes a real decision that needs to be made deliberately, not left as a default.</w:t>
      </w:r>
    </w:p>
    <w:p>
      <w:pPr>
        <w:pStyle w:val="Heading1"/>
        <w:spacing w:after="150" w:before="300"/>
      </w:pPr>
      <w:r>
        <w:t xml:space="preserve">12. Sources</w:t>
      </w:r>
    </w:p>
    <w:p>
      <w:pPr>
        <w:spacing w:after="120"/>
      </w:pPr>
      <w:r>
        <w:t xml:space="preserve">The regulatory notes in section 7 are drawn directly from the following documents, which were shared for this project:</w:t>
      </w:r>
    </w:p>
    <w:p>
      <w:pPr>
        <w:pStyle w:val="ListParagraph"/>
        <w:numPr>
          <w:ilvl w:val="0"/>
          <w:numId w:val="2"/>
        </w:numPr>
        <w:spacing w:after="60"/>
      </w:pPr>
      <w:r>
        <w:t xml:space="preserve">The Advocates (Remuneration) Order, No. 64 of 1962, Laws of Kenya, as revised.</w:t>
      </w:r>
    </w:p>
    <w:p>
      <w:pPr>
        <w:pStyle w:val="ListParagraph"/>
        <w:numPr>
          <w:ilvl w:val="0"/>
          <w:numId w:val="2"/>
        </w:numPr>
        <w:spacing w:after="60"/>
      </w:pPr>
      <w:r>
        <w:t xml:space="preserve">The Data Protection Act, Cap. 411C, Laws of Kenya, as revised.</w:t>
      </w:r>
    </w:p>
    <w:p>
      <w:pPr>
        <w:pStyle w:val="ListParagraph"/>
        <w:numPr>
          <w:ilvl w:val="0"/>
          <w:numId w:val="2"/>
        </w:numPr>
        <w:spacing w:after="60"/>
      </w:pPr>
      <w:r>
        <w:t xml:space="preserve">General web research on the Advocates (Accounts) Rules, 1966, referenced for context on trust accounting and the six year record retention requirement.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2026-09-10T16:46:10.968Z</dcterms:created>
  <dcterms:modified xsi:type="dcterms:W3CDTF">2026-09-10T16:46:10.979Z</dcterms:modified>
</cp:coreProperties>
</file>

<file path=docProps/custom.xml><?xml version="1.0" encoding="utf-8"?>
<Properties xmlns="http://schemas.openxmlformats.org/officeDocument/2006/custom-properties" xmlns:vt="http://schemas.openxmlformats.org/officeDocument/2006/docPropsVTypes"/>
</file>