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line="252" w:lineRule="auto"/>
        <w:jc w:val="center"/>
      </w:pPr>
      <w:r>
        <w:rPr>
          <w:rFonts w:ascii="Times New Roman" w:hAnsi="Times New Roman"/>
          <w:b w:val="0"/>
          <w:i w:val="0"/>
        </w:rPr>
        <w:t>Highlights</w:t>
      </w:r>
    </w:p>
    <w:p>
      <w:pPr>
        <w:pStyle w:val="ListBullet"/>
        <w:spacing w:after="120" w:line="252" w:lineRule="auto"/>
      </w:pPr>
      <w:r>
        <w:rPr>
          <w:rFonts w:ascii="Times New Roman" w:hAnsi="Times New Roman"/>
          <w:sz w:val="22"/>
        </w:rPr>
        <w:t>LayerLoom encodes color schedules directly in ordinary 3MF geometry.</w:t>
      </w:r>
    </w:p>
    <w:p>
      <w:pPr>
        <w:pStyle w:val="ListBullet"/>
        <w:spacing w:after="120" w:line="252" w:lineRule="auto"/>
      </w:pPr>
      <w:r>
        <w:rPr>
          <w:rFonts w:ascii="Times New Roman" w:hAnsi="Times New Roman"/>
          <w:sz w:val="22"/>
        </w:rPr>
        <w:t>Existing multi-material FFF printers produce expanded color palettes.</w:t>
      </w:r>
    </w:p>
    <w:p>
      <w:pPr>
        <w:pStyle w:val="ListBullet"/>
        <w:spacing w:after="120" w:line="252" w:lineRule="auto"/>
      </w:pPr>
      <w:r>
        <w:rPr>
          <w:rFonts w:ascii="Times New Roman" w:hAnsi="Times New Roman"/>
          <w:sz w:val="22"/>
        </w:rPr>
        <w:t>Three CMY filaments yielded 51 distinguishable groups from 55 regions.</w:t>
      </w:r>
    </w:p>
    <w:p>
      <w:pPr>
        <w:pStyle w:val="ListBullet"/>
        <w:spacing w:after="120" w:line="252" w:lineRule="auto"/>
      </w:pPr>
      <w:r>
        <w:rPr>
          <w:rFonts w:ascii="Times New Roman" w:hAnsi="Times New Roman"/>
          <w:sz w:val="22"/>
        </w:rPr>
        <w:t>Expanded endpoints yielded 393 groups from 1,210 measured regions.</w:t>
      </w:r>
    </w:p>
    <w:p>
      <w:pPr>
        <w:pStyle w:val="ListBullet"/>
        <w:spacing w:after="120" w:line="252" w:lineRule="auto"/>
      </w:pPr>
      <w:r>
        <w:rPr>
          <w:rFonts w:ascii="Times New Roman" w:hAnsi="Times New Roman"/>
          <w:sz w:val="22"/>
        </w:rPr>
        <w:t>Woven files slice in ordinary multi-material slicers without custom G-code.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