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line="252" w:lineRule="auto"/>
        <w:jc w:val="center"/>
      </w:pPr>
      <w:r>
        <w:rPr>
          <w:rFonts w:ascii="Times New Roman" w:hAnsi="Times New Roman"/>
          <w:b w:val="0"/>
          <w:i w:val="0"/>
        </w:rPr>
        <w:t>Existing Multi-Material FFF Printers Are Sufficient For (Near) Arbitrary Coloration</w:t>
      </w:r>
    </w:p>
    <w:p>
      <w:pPr>
        <w:pStyle w:val="Heading1"/>
        <w:spacing w:after="120" w:line="252" w:lineRule="auto"/>
      </w:pPr>
      <w:r>
        <w:rPr>
          <w:rFonts w:ascii="Times New Roman" w:hAnsi="Times New Roman"/>
          <w:b w:val="0"/>
          <w:i w:val="0"/>
        </w:rPr>
        <w:t>Abstract</w:t>
      </w:r>
    </w:p>
    <w:p>
      <w:pPr>
        <w:spacing w:after="120" w:line="252" w:lineRule="auto"/>
      </w:pPr>
      <w:r>
        <w:rPr>
          <w:rFonts w:ascii="Times New Roman" w:hAnsi="Times New Roman"/>
          <w:b w:val="0"/>
          <w:i w:val="0"/>
        </w:rPr>
        <w:t>Color 3D printing is often treated as a hardware problem: producing more colors requires more independently addressable materials, active color mixing, specialized feedstock, or color-aware slicing software. Here we show that existing multi-material fused filament fabrication (FFF) printers can approach near-arbitrary coloration by using layer geometry rather than additional color-mixing hardware. LayerLoom encodes color as repeated vertical sequences of standard filaments by decomposing colored 3MF or GLB models into interleaved Z-bands whose layer sequences encode discrete layer-fraction recipes. Because these schedules are carried by ordinary mesh geometry, downstream slicers process the result as a conventional multi-object, multi-material print rather than as a custom color-mixing operation.</w:t>
      </w:r>
    </w:p>
    <w:p>
      <w:pPr>
        <w:spacing w:after="120" w:line="252" w:lineRule="auto"/>
      </w:pPr>
      <w:r>
        <w:rPr>
          <w:rFonts w:ascii="Times New Roman" w:hAnsi="Times New Roman"/>
          <w:b w:val="0"/>
          <w:i w:val="0"/>
        </w:rPr>
        <w:t>We enumerate valid layer-fraction recipes under weave-height, run-length, and endpoint constraints and evaluate the resulting prints using calibrated CIE L*a*b*/CIEDE2000 image measurements. With three CMY filaments, the full printed gamut produced 51 distinguishable clusters from 55 measured regions at ΔE00 &lt; 2. Expanded secondary and neutral endpoints produced 393 distinguishable clusters from 1,210 measured regions. Print-time and material benchmarks show that overhead is driven mainly by printer architecture and the number of filaments used. When woven colors reuse filaments already active on the same layers, they add minimal print time or material waste. These results show that layer-wise material order can be encoded as portable 3MF geometry, allowing ordinary multi-material FFF printers to produce more distinguishable printed colors without custom extrusion hardware, custom feedstock, modified G-code, or slicer-specific color-mixing tools. LayerLoom is free and open-source. The software and data will be made available in a public repository upon publication.</w:t>
      </w:r>
    </w:p>
    <w:p>
      <w:pPr>
        <w:spacing w:after="240"/>
      </w:pPr>
      <w:r>
        <w:rPr>
          <w:rFonts w:ascii="Times New Roman" w:hAnsi="Times New Roman"/>
          <w:b/>
          <w:sz w:val="22"/>
        </w:rPr>
        <w:t xml:space="preserve">Keywords: </w:t>
      </w:r>
      <w:r>
        <w:rPr>
          <w:rFonts w:ascii="Times New Roman" w:hAnsi="Times New Roman"/>
          <w:sz w:val="22"/>
        </w:rPr>
        <w:t>Fused filament fabrication; multi-material 3D printing; color 3D printing; layer weaving; 3MF; computational fabrication</w:t>
      </w:r>
    </w:p>
    <w:p>
      <w:pPr>
        <w:spacing w:before="160" w:after="120"/>
        <w:jc w:val="center"/>
      </w:pPr>
      <w:r>
        <w:drawing>
          <wp:inline xmlns:a="http://schemas.openxmlformats.org/drawingml/2006/main" xmlns:pic="http://schemas.openxmlformats.org/drawingml/2006/picture">
            <wp:extent cx="5852160" cy="2657322"/>
            <wp:docPr id="1" name="Picture 1"/>
            <wp:cNvGraphicFramePr>
              <a:graphicFrameLocks noChangeAspect="1"/>
            </wp:cNvGraphicFramePr>
            <a:graphic>
              <a:graphicData uri="http://schemas.openxmlformats.org/drawingml/2006/picture">
                <pic:pic>
                  <pic:nvPicPr>
                    <pic:cNvPr id="0" name="fig01_layer_weaving_principle.png"/>
                    <pic:cNvPicPr/>
                  </pic:nvPicPr>
                  <pic:blipFill>
                    <a:blip r:embed="rId9"/>
                    <a:stretch>
                      <a:fillRect/>
                    </a:stretch>
                  </pic:blipFill>
                  <pic:spPr>
                    <a:xfrm>
                      <a:off x="0" y="0"/>
                      <a:ext cx="5852160" cy="2657322"/>
                    </a:xfrm>
                    <a:prstGeom prst="rect"/>
                  </pic:spPr>
                </pic:pic>
              </a:graphicData>
            </a:graphic>
          </wp:inline>
        </w:drawing>
      </w:r>
    </w:p>
    <w:p>
      <w:pPr>
        <w:spacing w:after="200" w:line="252" w:lineRule="auto"/>
      </w:pPr>
      <w:r>
        <w:rPr>
          <w:rFonts w:ascii="Times New Roman" w:hAnsi="Times New Roman"/>
          <w:b w:val="0"/>
          <w:i/>
          <w:sz w:val="18"/>
        </w:rPr>
        <w:t>Figure 1. LayerLoom workflow and layer-weaving principle. LayerLoom converts a colored 3MF assembly into filament-specific geometry whose repeated Z-layer sequence encodes woven color recipes. Instead of assigning each displayed color to a separate filament, the method alternates loaded filaments across layers to generate intermediate printed colors. The accessible recipe space is controlled by the maximum weave height, which sets the repeat period, and the maximum same-color run length, which limits adjacent layers of the same filament.</w:t>
      </w:r>
    </w:p>
    <w:p>
      <w:pPr>
        <w:pStyle w:val="Heading1"/>
        <w:spacing w:after="120" w:line="252" w:lineRule="auto"/>
      </w:pPr>
      <w:r>
        <w:rPr>
          <w:rFonts w:ascii="Times New Roman" w:hAnsi="Times New Roman"/>
          <w:b w:val="0"/>
          <w:i w:val="0"/>
        </w:rPr>
        <w:t>Introduction and Related Work</w:t>
      </w:r>
    </w:p>
    <w:p>
      <w:pPr>
        <w:spacing w:after="120" w:line="252" w:lineRule="auto"/>
      </w:pPr>
      <w:r>
        <w:rPr>
          <w:rFonts w:ascii="Times New Roman" w:hAnsi="Times New Roman"/>
          <w:b w:val="0"/>
          <w:i w:val="0"/>
        </w:rPr>
        <w:t>Low-cost fused filament fabrication (FFF) has made multi-material 3D printing increasingly accessible, but color reproduction in desktop material-extrusion systems remains tied to the number of physical materials a printer can deposit. In most workflows, each loaded filament corresponds to one directly printable color. Expanding the palette therefore usually requires more material channels, color-mixing hardware, specialized feedstock, or printer-architecture-specific software that plans color transitions during slicing.</w:t>
      </w:r>
    </w:p>
    <w:p>
      <w:pPr>
        <w:spacing w:after="120" w:line="252" w:lineRule="auto"/>
      </w:pPr>
      <w:r>
        <w:rPr>
          <w:rFonts w:ascii="Times New Roman" w:hAnsi="Times New Roman"/>
          <w:b w:val="0"/>
          <w:i w:val="0"/>
        </w:rPr>
        <w:t>This creates a practical gap: many users now have multi-material FFF hardware, but still have access to only a small number of printed colors. LayerLoom addresses this gap by treating printed color as a repeated layer sequence rather than as a single material assignment. Instead of assigning each displayed color to a separate filament, LayerLoom converts colored regions into interleaved Z-bands assigned to the physical filaments already loaded in the printer. A target woven color is represented as a repeating weave pattern: a sequence of filament assignments that encodes a discrete layer-fraction recipe. Because this schedule is stored as ordinary 3MF geometry, the generated model can be processed by standard multi-material slicers while carrying both shape and woven color structure downstream.</w:t>
      </w:r>
    </w:p>
    <w:p>
      <w:pPr>
        <w:spacing w:after="120" w:line="252" w:lineRule="auto"/>
      </w:pPr>
      <w:r>
        <w:rPr>
          <w:rFonts w:ascii="Times New Roman" w:hAnsi="Times New Roman"/>
          <w:b w:val="0"/>
          <w:i w:val="0"/>
        </w:rPr>
        <w:t>One route toward expanded color reproduction is to mix materials during extrusion. Multi-in-one-out nozzles and related dynamic color-mixing systems combine differently colored feedstocks before deposition, but color transitions require the previous mixture to be displaced from the melt zone and nozzle before a new mixture stabilizes. These transitions are not instantaneous and can be difficult to predict when frequent or precise color changes are required (Hergel and Lefebvre, 2014; Song et al., 2019). Active mixing systems also introduce process-control challenges, including sensitivity to feed parameters, nozzle behavior, clogging, and uneven mixing (Li et al., 2019). Recent work has explored a different route by pre-encoding gradients into heterogeneous digital material filaments that can be printed using otherwise standard FFF hardware (Ahn et al., 2024). This avoids dynamic mixing at the nozzle, but shifts the color-generation step upstream into custom feedstock fabrication. Together, these approaches show that FFF color is constrained not only by filament count, but also by the difficulty of changing, blending, or preparing materials cleanly.</w:t>
      </w:r>
    </w:p>
    <w:p>
      <w:pPr>
        <w:spacing w:after="120" w:line="252" w:lineRule="auto"/>
      </w:pPr>
      <w:r>
        <w:rPr>
          <w:rFonts w:ascii="Times New Roman" w:hAnsi="Times New Roman"/>
          <w:b w:val="0"/>
          <w:i w:val="0"/>
        </w:rPr>
        <w:t>A second route treats color as a halftoning or exposure-control problem rather than as continuous nozzle mixing. Reiner et al. used dual-extrusion FDM to produce two-tone imagery by modifying surface geometry: black and white layers were arranged into offset, gear-tooth-like protrusions so that different amounts of each material remained visible from the outside (Reiner et al., 2014). Kuipers et al. formalized a related line-based halftoning method by varying the visible widths of alternating black and white lines (Kuipers et al., 2018). Song et al. extended layered color control by dynamically varying extrusion height, producing thinner or thicker material strata to control the resulting color mixture (Song et al., 2019). These studies show that FFF color can be controlled by changing exposed surface area, local deposition geometry, or layer thickness, not only by continuous mixing in the nozzle. In each case, however, the color effect depends on process-specific toolpath, surface, or extrusion-height control.</w:t>
      </w:r>
    </w:p>
    <w:p>
      <w:pPr>
        <w:spacing w:after="120" w:line="252" w:lineRule="auto"/>
      </w:pPr>
      <w:r>
        <w:rPr>
          <w:rFonts w:ascii="Times New Roman" w:hAnsi="Times New Roman"/>
          <w:b w:val="0"/>
          <w:i w:val="0"/>
        </w:rPr>
        <w:t>This principle is closely related to appearance-driven and voxel-oriented 3D printing, where color and appearance are controlled by distributing materials through an object volume rather than assigning color only at the visible surface. Volumetric color and contoning methods can improve tone, contrast, and detail by distributing material through translucent media (Babaei et al., 2017; Brunton et al., 2016). Related work on reproducing subsurface scattering shows that perceived appearance depends on how light interacts with internal material distributions, not only on the identity of the outermost surface layer (Dong et al., 2010; Hasan et al., 2010). However, these methods typically assume printing processes with fine-grained material addressing and rapid material changes, which do not map directly onto ordinary FFF. Voxel-level material assignment can also require specialized computational pipelines and high-throughput material streaming (Vidimce et al., 2013). Related dithering and voxel-composition methods show similar promise, but highly fragmented material distributions can introduce artifacts or mechanical tradeoffs (Cho et al., 2003; Willmott et al., 2023; Morsy et al., 2022).</w:t>
      </w:r>
    </w:p>
    <w:p>
      <w:pPr>
        <w:spacing w:after="120" w:line="252" w:lineRule="auto"/>
      </w:pPr>
      <w:r>
        <w:rPr>
          <w:rFonts w:ascii="Times New Roman" w:hAnsi="Times New Roman"/>
          <w:b w:val="0"/>
          <w:i w:val="0"/>
        </w:rPr>
        <w:t>LayerLoom instead treats the color schedule as part of the printable geometry. Rather than relying on specialized hardware, modified G-code, or custom toolpaths, LayerLoom performs the color-scheduling step before slicing and writes the result as ordinary filament-assigned 3MF geometry. Each woven color is represented by interleaved Z-bands assigned to the physical filaments already loaded in the printer. Once this woven geometry has been generated, downstream software does not need to solve or interpret the color schedule: slicers process the file as a standard multi-part, multi-material object, and the printer executes ordinary filament assignments.</w:t>
      </w:r>
    </w:p>
    <w:p>
      <w:pPr>
        <w:spacing w:after="120" w:line="252" w:lineRule="auto"/>
      </w:pPr>
      <w:r>
        <w:rPr>
          <w:rFonts w:ascii="Times New Roman" w:hAnsi="Times New Roman"/>
          <w:b w:val="0"/>
          <w:i w:val="0"/>
        </w:rPr>
        <w:t>This paper makes three contributions. First, it introduces a geometry-level representation for color scheduling in which repeated material sequences are encoded as filament-specific Z-bands inside ordinary 3MF assemblies. Second, it describes an algorithmic workflow for importing colored 3MF or GLB models, enumerating constrained layer-fraction recipes, assigning woven recipes, and reconstructing slicer-ready per-filament geometry. Third, it evaluates the representation using printed color gamuts, calibrated CIE (L*a*b*)/CIEDE2000 measurements, application-oriented scientific models, and multi-material print-time benchmarks.LayerLoom contributes a portable 3MF encoding for layer-wise material schedules, turning color from a slicer- or hardware-specific operation into geometry that travels with the model and can be printed by existing multi-material FFF workflows.</w:t>
      </w:r>
    </w:p>
    <w:p>
      <w:pPr>
        <w:pStyle w:val="Heading1"/>
        <w:spacing w:after="120" w:line="252" w:lineRule="auto"/>
      </w:pPr>
      <w:r>
        <w:rPr>
          <w:rFonts w:ascii="Times New Roman" w:hAnsi="Times New Roman"/>
          <w:b w:val="0"/>
          <w:i w:val="0"/>
        </w:rPr>
        <w:t>LayerLoom in Detail</w:t>
      </w:r>
    </w:p>
    <w:p>
      <w:pPr>
        <w:spacing w:after="120" w:line="252" w:lineRule="auto"/>
      </w:pPr>
      <w:r>
        <w:rPr>
          <w:rFonts w:ascii="Times New Roman" w:hAnsi="Times New Roman"/>
          <w:b w:val="0"/>
          <w:i w:val="0"/>
        </w:rPr>
        <w:t>LayerLoom operates on geometry prior to slicing, using the object, component, and packaging structure defined by the 3MF Core Specification (Consortium, 2021). The implementation accepts colored 3MF files and color-coded GLB meshes, and emits a woven 3MF in which output objects correspond to physical filament assignments. Downstream slicers therefore treat the result as a conventional multi-object, multi-material model.</w:t>
      </w:r>
    </w:p>
    <w:p>
      <w:pPr>
        <w:spacing w:after="120" w:line="252" w:lineRule="auto"/>
      </w:pPr>
      <w:r>
        <w:rPr>
          <w:rFonts w:ascii="Times New Roman" w:hAnsi="Times New Roman"/>
          <w:b w:val="0"/>
          <w:i w:val="0"/>
        </w:rPr>
        <w:t>The set of available woven colors is defined by a constrained palette built from a chosen filament set and a small number of pattern parameters. In the current implementation, these include the maximum weave height, the maximum allowable same-color run length, optional restrictions on how many distinct filaments may appear in a pattern, and the selected endpoint filament set. LayerLoom supports CMY workflows and optional black, white, neutral gray, light gray, orange, violet, and green endpoints. The photographic analysis includes both light-gray and darker neutral-gray endpoints.</w:t>
      </w:r>
    </w:p>
    <w:p>
      <w:pPr>
        <w:spacing w:after="120" w:line="252" w:lineRule="auto"/>
      </w:pPr>
      <w:r>
        <w:rPr>
          <w:rFonts w:ascii="Times New Roman" w:hAnsi="Times New Roman"/>
          <w:b w:val="0"/>
          <w:i w:val="0"/>
        </w:rPr>
        <w:t>A reported color recipe is defined by the reduced layer-fraction vector of a valid stack token, not by every possible ordering of that token. Thus, tokens such as cmy, myc, and ccmmyy are treated as the same expected recipe because they reduce to the same C:M:Y layer fraction of 1:1:1. Recipe counts reported here therefore describe unique layer-fraction recipes after collapsing redundant orderings and reducible repeats, not all possible stack-string permutations and not experimentally resolved printed colors.</w:t>
      </w:r>
    </w:p>
    <w:p>
      <w:pPr>
        <w:spacing w:after="120" w:line="252" w:lineRule="auto"/>
      </w:pPr>
      <w:r>
        <w:rPr>
          <w:rFonts w:ascii="Times New Roman" w:hAnsi="Times New Roman"/>
          <w:b w:val="0"/>
          <w:i w:val="0"/>
        </w:rPr>
        <w:t>For each layer-fraction recipe, LayerLoom selects one canonical written stack token from among valid permutations with the same reduced material fractions. Candidate tokens are ranked by run quality before lexical order: the preferred token minimizes the longest same-color run, minimizes the amount of run length beyond two, favors a larger number of two-layer pairs, favors more alternating runs, and finally uses lexicographic order as a deterministic tie-break. This favors balanced written tokens such as cmc over less evenly distributed alternatives such as ccm when both encode the same material fractions. Run-length constraints are evaluated on the repeated token, including the boundary between the end and beginning of the written token, so a sequence cannot satisfy the rule only by placing repeated colors across the wraparound boundary.</w:t>
      </w:r>
    </w:p>
    <w:p>
      <w:pPr>
        <w:spacing w:after="120" w:line="252" w:lineRule="auto"/>
      </w:pPr>
      <w:r>
        <w:rPr>
          <w:rFonts w:ascii="Times New Roman" w:hAnsi="Times New Roman"/>
          <w:b w:val="0"/>
          <w:i w:val="0"/>
        </w:rPr>
        <w:t>LayerLoom supports several routes for assigning recipes to imported parts. The graphical interface allows manual assignment, which was the default workflow for the examples in this study. Recipes can also be assigned by matching preserved source-color metadata to the nearest available LayerLoom palette entry or by reading stack-token labels embedded in part names or metadata, such as __PAT_cmymy__. After assignment, LayerLoom performs the color-scheduling step before slicing and writes the result as ordinary filament-assigned 3MF geometry.</w:t>
      </w:r>
    </w:p>
    <w:p>
      <w:pPr>
        <w:spacing w:after="120" w:line="252" w:lineRule="auto"/>
      </w:pPr>
      <w:r>
        <w:rPr>
          <w:rFonts w:ascii="Times New Roman" w:hAnsi="Times New Roman"/>
          <w:b w:val="0"/>
          <w:i w:val="0"/>
        </w:rPr>
        <w:t>Geometrically, LayerLoom constructs woven output by slicing selected parts or colored regions into successive Z-bands and reassigning those bands according to the chosen weave signature. Bands assigned to the same filament are accumulated into new output geometry, so the final woven model consists of per-filament objects containing noncontiguous but coordinated component layers. The color schedule therefore becomes part of the object itself: geometry describes both shape and the layer-level ordering by which differently colored filaments appear throughout the print. Compared with voxel-based or highly fragmented composition methods, this preserves longer continuous structures and remains compatible with ordinary mesh-based workflows (Vidimce et al., 2013; Willmott et al., 2023).</w:t>
      </w:r>
    </w:p>
    <w:p>
      <w:pPr>
        <w:pStyle w:val="Heading1"/>
        <w:spacing w:after="120" w:line="252" w:lineRule="auto"/>
      </w:pPr>
      <w:r>
        <w:rPr>
          <w:rFonts w:ascii="Times New Roman" w:hAnsi="Times New Roman"/>
          <w:b w:val="0"/>
          <w:i w:val="0"/>
        </w:rPr>
        <w:t>LayerLoom Algorithmic Workflow</w:t>
      </w:r>
    </w:p>
    <w:p>
      <w:pPr>
        <w:spacing w:after="120" w:line="252" w:lineRule="auto"/>
      </w:pPr>
      <w:r>
        <w:rPr>
          <w:rFonts w:ascii="Times New Roman" w:hAnsi="Times New Roman"/>
          <w:b w:val="0"/>
          <w:i w:val="0"/>
        </w:rPr>
        <w:t>LayerLoom converts an input 3MF or GLB into a slicer-ready multi-material 3MF through four stages: import normalization, weave-pattern assignment, geometric Z-band slicing, and per-filament reconstruction.</w:t>
      </w:r>
    </w:p>
    <w:p>
      <w:pPr>
        <w:spacing w:after="120" w:line="252" w:lineRule="auto"/>
      </w:pPr>
      <w:r>
        <w:rPr>
          <w:rFonts w:ascii="Times New Roman" w:hAnsi="Times New Roman"/>
          <w:b w:val="0"/>
          <w:i w:val="0"/>
        </w:rPr>
        <w:t>First, the input 3MF is normalized into an internal generic 3MF. LayerLoom reads the 3MF package relationships to identify the root model file, then traverses build items, local component assemblies, and production-extension child model references using p:path. For each build-reachable printable mesh, object and component transforms are composed, unit scales are converted to millimeters, and the transformed vertices are written into a flattened mesh object. Thus, assemblies and repeated instances are converted into editable concrete parts. Part names, source object identifiers, source_hex, and stack_token metadata are preserved when available.</w:t>
      </w:r>
    </w:p>
    <w:p>
      <w:pPr>
        <w:spacing w:after="120" w:line="252" w:lineRule="auto"/>
      </w:pPr>
      <w:r>
        <w:rPr>
          <w:rFonts w:ascii="Times New Roman" w:hAnsi="Times New Roman"/>
          <w:b w:val="0"/>
          <w:i w:val="0"/>
        </w:rPr>
        <w:t>GLB inputs are imported into the same representation using their component geometry and color information. Component colors can then be mapped automatically to the nearest available LayerLoom weave recipe or assigned manually through the graphical interface. Each editable part is assigned a weave signature, or stack token. If a part name or metadata contains a stack-token tag, such as __PAT_cmymy__, that token is used directly; otherwise, the GUI may assign a token manually or by matching preserved source color metadata to the LayerLoom palette.</w:t>
      </w:r>
    </w:p>
    <w:p>
      <w:pPr>
        <w:spacing w:after="120" w:line="252" w:lineRule="auto"/>
      </w:pPr>
      <w:r>
        <w:rPr>
          <w:rFonts w:ascii="Times New Roman" w:hAnsi="Times New Roman"/>
          <w:b w:val="0"/>
          <w:i w:val="0"/>
        </w:rPr>
        <w:t>Palette entries are generated by enumerating valid CMY or expanded CMYKWN/OVG stack sequences under constraints on maximum pattern height, maximum repeated runs, and number of distinct colors. Throughout this manuscript, the two-color rule set denotes H ≤ 6, run ≤ 2, and at most two distinct endpoints; the normal GUI preset denotes H ≤ 6, run ≤ 3, and at most three endpoints; and the full rule set denotes H ≤ 6, run ≤ 5, and at most five endpoints. The 4,647 CMYKWN+OVG theoretical count corresponds to the full rule set using CMY, black, white, one neutral gray, orange, violet, and green. The printed expanded-endpoint measurements are separate from this full theoretical combined palette: the 1,210 measured regions are pooled full-condition printed regions from three-endpoint substitution gamuts.</w:t>
      </w:r>
    </w:p>
    <w:p>
      <w:pPr>
        <w:spacing w:after="120" w:line="252" w:lineRule="auto"/>
      </w:pPr>
      <w:r>
        <w:rPr>
          <w:rFonts w:ascii="Times New Roman" w:hAnsi="Times New Roman"/>
          <w:b w:val="0"/>
          <w:i w:val="0"/>
        </w:rPr>
        <w:t>For weaving, LayerLoom slices each mesh into horizontal Z-bands of height h, where h is the selected weave/layer height. Let z_0 be the minimum Z coordinate across the imported scene. For a mesh M, LayerLoom considers bands</w:t>
      </w:r>
    </w:p>
    <w:p>
      <w:pPr>
        <w:spacing w:after="120" w:line="252" w:lineRule="auto"/>
      </w:pPr>
      <w:r>
        <w:rPr>
          <w:rFonts w:ascii="Times New Roman" w:hAnsi="Times New Roman"/>
          <w:b w:val="0"/>
          <w:i w:val="0"/>
        </w:rPr>
        <w:t>B_k = (x,y,z) ∈ M: z_0 + kh ≤ z &lt; z_0 + (k+1)h.</w:t>
      </w:r>
    </w:p>
    <w:p>
      <w:pPr>
        <w:spacing w:after="120" w:line="252" w:lineRule="auto"/>
      </w:pPr>
      <w:r>
        <w:rPr>
          <w:rFonts w:ascii="Times New Roman" w:hAnsi="Times New Roman"/>
          <w:b w:val="0"/>
          <w:i w:val="0"/>
        </w:rPr>
        <w:t>Each band index k is assigned to the corresponding token position k mod n, where n is the length of the part's stack token. Geometry is cut using capped planar mesh clipping; if that fails, LayerLoom falls back to Boolean intersection with a thin slab box. A small vertical tolerance gap of 10^-3 mm is applied at band boundaries to reduce coincident cap degeneracies. Mesh loading, transformation, clipping, and visualization used trimesh, PyVista, and VTK (al., 2019; Sullivan and Kaszynski, 2019; Schroeder et al., 2006).</w:t>
      </w:r>
    </w:p>
    <w:p>
      <w:pPr>
        <w:spacing w:after="120" w:line="252" w:lineRule="auto"/>
      </w:pPr>
      <w:r>
        <w:rPr>
          <w:rFonts w:ascii="Times New Roman" w:hAnsi="Times New Roman"/>
          <w:b w:val="0"/>
          <w:i w:val="0"/>
        </w:rPr>
        <w:t>After slicing, all bands assigned to the same final filament token are accumulated into one mesh group, for example all_cyan, all_magenta, and all_yellow. Disconnected shells are allowed inside these grouped objects. The resulting 3MF therefore contains one printable object or assembly per filament color rather than one object per layer band. Object names, part numbers, and metadata encode the intended color assignment for downstream slicers.</w:t>
      </w:r>
    </w:p>
    <w:p>
      <w:pPr>
        <w:spacing w:after="120" w:line="252" w:lineRule="auto"/>
      </w:pPr>
      <w:r>
        <w:rPr>
          <w:rFonts w:ascii="Times New Roman" w:hAnsi="Times New Roman"/>
          <w:b w:val="0"/>
          <w:i w:val="0"/>
        </w:rPr>
        <w:t>The downstream slicer does not need to solve the palette problem or interpret woven color as a special color-mixing operation. It only needs to preserve the generated Z positions, slice at the weave height, and assign the resulting objects to the corresponding physical filaments. LayerLoom woven 3MF outputs were opened and sliced as ordinary multi-object, multi-material models in OrcaSlicer, Bambu Studio, and PrusaSlicer when the slicer layer height matched the weave height. Cura also worked, but required disabling automatic drop-to-plate behavior because that setting moves separated components to the build plate and disrupts the intended Z sequence.</w:t>
      </w:r>
    </w:p>
    <w:p>
      <w:pPr>
        <w:pStyle w:val="Heading1"/>
        <w:spacing w:after="120" w:line="252" w:lineRule="auto"/>
      </w:pPr>
      <w:r>
        <w:rPr>
          <w:rFonts w:ascii="Times New Roman" w:hAnsi="Times New Roman"/>
          <w:b w:val="0"/>
          <w:i w:val="0"/>
        </w:rPr>
        <w:t>Results</w:t>
      </w:r>
    </w:p>
    <w:p>
      <w:pPr>
        <w:pStyle w:val="Heading2"/>
        <w:spacing w:after="120" w:line="252" w:lineRule="auto"/>
      </w:pPr>
      <w:r>
        <w:rPr>
          <w:rFonts w:ascii="Times New Roman" w:hAnsi="Times New Roman"/>
          <w:b w:val="0"/>
          <w:i w:val="0"/>
        </w:rPr>
        <w:t>Geometry and Weave Constraints Shape the Accessible Color Space</w:t>
      </w:r>
    </w:p>
    <w:p>
      <w:pPr>
        <w:spacing w:after="120" w:line="252" w:lineRule="auto"/>
      </w:pPr>
      <w:r>
        <w:rPr>
          <w:rFonts w:ascii="Times New Roman" w:hAnsi="Times New Roman"/>
          <w:b w:val="0"/>
          <w:i w:val="0"/>
        </w:rPr>
        <w:t>Colors attainable by LayerLoom are not uniformly distributed across the CMY gamut. To determine which colors are reachable under different weaving constraints, we enumerated all valid CMY layer stacks up to a specified maximum stack height, maximum run length of repeated colors, and maximum number of distinct colors. Each stack was converted into a CMY composition by counting the fraction of cyan, magenta, and yellow layers in the repeating token. These fractions were then plotted in barycentric coordinates within the CMY ternary triangle (Fig. 2). This is a nearest-neighbor construction in CMY fraction space, not a perceptual color-difference calculation. The filled Voronoi regions show how the continuous CMY composition triangle is partitioned among available discrete woven stacks. Restricting patterns to one- and two-color stacks leaves the triangle interior sparsely represented, whereas allowing three-color stacks and longer patterns adds interior recipes and reduces the size of the nearest-neighbor regions. Direct CMY printing provides only three directly assigned filament colors. LayerLoom expands this design space by treating color as a discrete layer-fraction recipe rather than as a one-to-one material assignment (Fig. 2; Table 1; Table S1). Under the simple rule set (H ≤ 6, run ≤ 2, ≤ 2 colors), CMY produces 30 unique recipes: three pure colors and 27 binary mixtures. Under the normal rule set (H ≤ 6, run ≤ 3, ≤ 3 colors), CMY produces 55 unique recipes, consisting of three pure colors, 33 binary mixtures, and 19 ternary mixtures. An extended written-token rule set (H ≤ 7, run ≤ 6, ≤ 3 colors) produces 88 unique CMY layer-fraction recipes. These counts collapse redundant orderings with identical layer fractions, so permutations such as cym, cmy, and mcy are counted as one expected color recipe.</w:t>
      </w:r>
    </w:p>
    <w:p>
      <w:pPr>
        <w:spacing w:after="80" w:line="252" w:lineRule="auto"/>
      </w:pPr>
      <w:r>
        <w:rPr>
          <w:rFonts w:ascii="Times New Roman" w:hAnsi="Times New Roman"/>
          <w:b/>
          <w:i w:val="0"/>
          <w:sz w:val="18"/>
        </w:rPr>
        <w:t>Table 1. Theoretical expansion of expected color recipes under LayerLoom palette rules. Counts represent unique layer-fraction recipes after collapsing redundant orderings with identical color fractions. They are design-space counts, not counts of experimentally resolved color states. Here, N denotes a neutral gray endpoint.</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vAlign w:val="center"/>
          </w:tcPr>
          <w:p>
            <w:pPr>
              <w:spacing w:after="0"/>
            </w:pPr>
            <w:r/>
            <w:r>
              <w:rPr>
                <w:rFonts w:ascii="Times New Roman" w:hAnsi="Times New Roman"/>
                <w:b/>
                <w:sz w:val="18"/>
              </w:rPr>
              <w:t>Palette family</w:t>
            </w:r>
          </w:p>
        </w:tc>
        <w:tc>
          <w:tcPr>
            <w:tcW w:type="dxa" w:w="1958"/>
            <w:vAlign w:val="center"/>
          </w:tcPr>
          <w:p>
            <w:pPr>
              <w:spacing w:after="0"/>
            </w:pPr>
            <w:r/>
            <w:r>
              <w:rPr>
                <w:rFonts w:ascii="Times New Roman" w:hAnsi="Times New Roman"/>
                <w:b/>
                <w:sz w:val="18"/>
              </w:rPr>
              <w:t>Simple (6,2,2)</w:t>
            </w:r>
          </w:p>
        </w:tc>
        <w:tc>
          <w:tcPr>
            <w:tcW w:type="dxa" w:w="1958"/>
            <w:vAlign w:val="center"/>
          </w:tcPr>
          <w:p>
            <w:pPr>
              <w:spacing w:after="0"/>
            </w:pPr>
            <w:r/>
            <w:r>
              <w:rPr>
                <w:rFonts w:ascii="Times New Roman" w:hAnsi="Times New Roman"/>
                <w:b/>
                <w:sz w:val="18"/>
              </w:rPr>
              <w:t>Normal (6,3,3)</w:t>
            </w:r>
          </w:p>
        </w:tc>
        <w:tc>
          <w:tcPr>
            <w:tcW w:type="dxa" w:w="1958"/>
            <w:vAlign w:val="center"/>
          </w:tcPr>
          <w:p>
            <w:pPr>
              <w:spacing w:after="0"/>
            </w:pPr>
            <w:r/>
            <w:r>
              <w:rPr>
                <w:rFonts w:ascii="Times New Roman" w:hAnsi="Times New Roman"/>
                <w:b/>
                <w:sz w:val="18"/>
              </w:rPr>
              <w:t>Full (6,5,5)</w:t>
            </w:r>
          </w:p>
        </w:tc>
        <w:tc>
          <w:tcPr>
            <w:tcW w:type="dxa" w:w="1958"/>
            <w:vAlign w:val="center"/>
          </w:tcPr>
          <w:p>
            <w:pPr>
              <w:spacing w:after="0"/>
            </w:pPr>
            <w:r/>
            <w:r>
              <w:rPr>
                <w:rFonts w:ascii="Times New Roman" w:hAnsi="Times New Roman"/>
                <w:b/>
                <w:sz w:val="18"/>
              </w:rPr>
              <w:t>Unrestricted 6-layer</w:t>
            </w:r>
          </w:p>
        </w:tc>
      </w:tr>
      <w:tr>
        <w:tc>
          <w:tcPr>
            <w:tcW w:type="dxa" w:w="1958"/>
            <w:vAlign w:val="center"/>
          </w:tcPr>
          <w:p>
            <w:pPr>
              <w:spacing w:after="0"/>
            </w:pPr>
            <w:r/>
            <w:r>
              <w:rPr>
                <w:rFonts w:ascii="Times New Roman" w:hAnsi="Times New Roman"/>
                <w:b w:val="0"/>
                <w:sz w:val="18"/>
              </w:rPr>
              <w:t>K/W only</w:t>
            </w:r>
          </w:p>
        </w:tc>
        <w:tc>
          <w:tcPr>
            <w:tcW w:type="dxa" w:w="1958"/>
            <w:vAlign w:val="center"/>
          </w:tcPr>
          <w:p>
            <w:pPr>
              <w:spacing w:after="0"/>
            </w:pPr>
            <w:r/>
            <w:r>
              <w:rPr>
                <w:rFonts w:ascii="Times New Roman" w:hAnsi="Times New Roman"/>
                <w:b w:val="0"/>
                <w:sz w:val="18"/>
              </w:rPr>
              <w:t>11</w:t>
            </w:r>
          </w:p>
        </w:tc>
        <w:tc>
          <w:tcPr>
            <w:tcW w:type="dxa" w:w="1958"/>
            <w:vAlign w:val="center"/>
          </w:tcPr>
          <w:p>
            <w:pPr>
              <w:spacing w:after="0"/>
            </w:pPr>
            <w:r/>
            <w:r>
              <w:rPr>
                <w:rFonts w:ascii="Times New Roman" w:hAnsi="Times New Roman"/>
                <w:b w:val="0"/>
                <w:sz w:val="18"/>
              </w:rPr>
              <w:t>13</w:t>
            </w:r>
          </w:p>
        </w:tc>
        <w:tc>
          <w:tcPr>
            <w:tcW w:type="dxa" w:w="1958"/>
            <w:vAlign w:val="center"/>
          </w:tcPr>
          <w:p>
            <w:pPr>
              <w:spacing w:after="0"/>
            </w:pPr>
            <w:r/>
            <w:r>
              <w:rPr>
                <w:rFonts w:ascii="Times New Roman" w:hAnsi="Times New Roman"/>
                <w:b w:val="0"/>
                <w:sz w:val="18"/>
              </w:rPr>
              <w:t>13</w:t>
            </w:r>
          </w:p>
        </w:tc>
        <w:tc>
          <w:tcPr>
            <w:tcW w:type="dxa" w:w="1958"/>
            <w:vAlign w:val="center"/>
          </w:tcPr>
          <w:p>
            <w:pPr>
              <w:spacing w:after="0"/>
            </w:pPr>
            <w:r/>
            <w:r>
              <w:rPr>
                <w:rFonts w:ascii="Times New Roman" w:hAnsi="Times New Roman"/>
                <w:b w:val="0"/>
                <w:sz w:val="18"/>
              </w:rPr>
              <w:t>13</w:t>
            </w:r>
          </w:p>
        </w:tc>
      </w:tr>
      <w:tr>
        <w:tc>
          <w:tcPr>
            <w:tcW w:type="dxa" w:w="1958"/>
            <w:vAlign w:val="center"/>
          </w:tcPr>
          <w:p>
            <w:pPr>
              <w:spacing w:after="0"/>
            </w:pPr>
            <w:r/>
            <w:r>
              <w:rPr>
                <w:rFonts w:ascii="Times New Roman" w:hAnsi="Times New Roman"/>
                <w:b w:val="0"/>
                <w:sz w:val="18"/>
              </w:rPr>
              <w:t>K/W/N</w:t>
            </w:r>
          </w:p>
        </w:tc>
        <w:tc>
          <w:tcPr>
            <w:tcW w:type="dxa" w:w="1958"/>
            <w:vAlign w:val="center"/>
          </w:tcPr>
          <w:p>
            <w:pPr>
              <w:spacing w:after="0"/>
            </w:pPr>
            <w:r/>
            <w:r>
              <w:rPr>
                <w:rFonts w:ascii="Times New Roman" w:hAnsi="Times New Roman"/>
                <w:b w:val="0"/>
                <w:sz w:val="18"/>
              </w:rPr>
              <w:t>30</w:t>
            </w:r>
          </w:p>
        </w:tc>
        <w:tc>
          <w:tcPr>
            <w:tcW w:type="dxa" w:w="1958"/>
            <w:vAlign w:val="center"/>
          </w:tcPr>
          <w:p>
            <w:pPr>
              <w:spacing w:after="0"/>
            </w:pPr>
            <w:r/>
            <w:r>
              <w:rPr>
                <w:rFonts w:ascii="Times New Roman" w:hAnsi="Times New Roman"/>
                <w:b w:val="0"/>
                <w:sz w:val="18"/>
              </w:rPr>
              <w:t>55</w:t>
            </w:r>
          </w:p>
        </w:tc>
        <w:tc>
          <w:tcPr>
            <w:tcW w:type="dxa" w:w="1958"/>
            <w:vAlign w:val="center"/>
          </w:tcPr>
          <w:p>
            <w:pPr>
              <w:spacing w:after="0"/>
            </w:pPr>
            <w:r/>
            <w:r>
              <w:rPr>
                <w:rFonts w:ascii="Times New Roman" w:hAnsi="Times New Roman"/>
                <w:b w:val="0"/>
                <w:sz w:val="18"/>
              </w:rPr>
              <w:t>55</w:t>
            </w:r>
          </w:p>
        </w:tc>
        <w:tc>
          <w:tcPr>
            <w:tcW w:type="dxa" w:w="1958"/>
            <w:vAlign w:val="center"/>
          </w:tcPr>
          <w:p>
            <w:pPr>
              <w:spacing w:after="0"/>
            </w:pPr>
            <w:r/>
            <w:r>
              <w:rPr>
                <w:rFonts w:ascii="Times New Roman" w:hAnsi="Times New Roman"/>
                <w:b w:val="0"/>
                <w:sz w:val="18"/>
              </w:rPr>
              <w:t>55</w:t>
            </w:r>
          </w:p>
        </w:tc>
      </w:tr>
      <w:tr>
        <w:tc>
          <w:tcPr>
            <w:tcW w:type="dxa" w:w="1958"/>
            <w:vAlign w:val="center"/>
          </w:tcPr>
          <w:p>
            <w:pPr>
              <w:spacing w:after="0"/>
            </w:pPr>
            <w:r/>
            <w:r>
              <w:rPr>
                <w:rFonts w:ascii="Times New Roman" w:hAnsi="Times New Roman"/>
                <w:b w:val="0"/>
                <w:sz w:val="18"/>
              </w:rPr>
              <w:t>CMY</w:t>
            </w:r>
          </w:p>
        </w:tc>
        <w:tc>
          <w:tcPr>
            <w:tcW w:type="dxa" w:w="1958"/>
            <w:vAlign w:val="center"/>
          </w:tcPr>
          <w:p>
            <w:pPr>
              <w:spacing w:after="0"/>
            </w:pPr>
            <w:r/>
            <w:r>
              <w:rPr>
                <w:rFonts w:ascii="Times New Roman" w:hAnsi="Times New Roman"/>
                <w:b w:val="0"/>
                <w:sz w:val="18"/>
              </w:rPr>
              <w:t>30</w:t>
            </w:r>
          </w:p>
        </w:tc>
        <w:tc>
          <w:tcPr>
            <w:tcW w:type="dxa" w:w="1958"/>
            <w:vAlign w:val="center"/>
          </w:tcPr>
          <w:p>
            <w:pPr>
              <w:spacing w:after="0"/>
            </w:pPr>
            <w:r/>
            <w:r>
              <w:rPr>
                <w:rFonts w:ascii="Times New Roman" w:hAnsi="Times New Roman"/>
                <w:b w:val="0"/>
                <w:sz w:val="18"/>
              </w:rPr>
              <w:t>55</w:t>
            </w:r>
          </w:p>
        </w:tc>
        <w:tc>
          <w:tcPr>
            <w:tcW w:type="dxa" w:w="1958"/>
            <w:vAlign w:val="center"/>
          </w:tcPr>
          <w:p>
            <w:pPr>
              <w:spacing w:after="0"/>
            </w:pPr>
            <w:r/>
            <w:r>
              <w:rPr>
                <w:rFonts w:ascii="Times New Roman" w:hAnsi="Times New Roman"/>
                <w:b w:val="0"/>
                <w:sz w:val="18"/>
              </w:rPr>
              <w:t>55</w:t>
            </w:r>
          </w:p>
        </w:tc>
        <w:tc>
          <w:tcPr>
            <w:tcW w:type="dxa" w:w="1958"/>
            <w:vAlign w:val="center"/>
          </w:tcPr>
          <w:p>
            <w:pPr>
              <w:spacing w:after="0"/>
            </w:pPr>
            <w:r/>
            <w:r>
              <w:rPr>
                <w:rFonts w:ascii="Times New Roman" w:hAnsi="Times New Roman"/>
                <w:b w:val="0"/>
                <w:sz w:val="18"/>
              </w:rPr>
              <w:t>55</w:t>
            </w:r>
          </w:p>
        </w:tc>
      </w:tr>
      <w:tr>
        <w:tc>
          <w:tcPr>
            <w:tcW w:type="dxa" w:w="1958"/>
            <w:vAlign w:val="center"/>
          </w:tcPr>
          <w:p>
            <w:pPr>
              <w:spacing w:after="0"/>
            </w:pPr>
            <w:r/>
            <w:r>
              <w:rPr>
                <w:rFonts w:ascii="Times New Roman" w:hAnsi="Times New Roman"/>
                <w:b w:val="0"/>
                <w:sz w:val="18"/>
              </w:rPr>
              <w:t>OVG</w:t>
            </w:r>
          </w:p>
        </w:tc>
        <w:tc>
          <w:tcPr>
            <w:tcW w:type="dxa" w:w="1958"/>
            <w:vAlign w:val="center"/>
          </w:tcPr>
          <w:p>
            <w:pPr>
              <w:spacing w:after="0"/>
            </w:pPr>
            <w:r/>
            <w:r>
              <w:rPr>
                <w:rFonts w:ascii="Times New Roman" w:hAnsi="Times New Roman"/>
                <w:b w:val="0"/>
                <w:sz w:val="18"/>
              </w:rPr>
              <w:t>30</w:t>
            </w:r>
          </w:p>
        </w:tc>
        <w:tc>
          <w:tcPr>
            <w:tcW w:type="dxa" w:w="1958"/>
            <w:vAlign w:val="center"/>
          </w:tcPr>
          <w:p>
            <w:pPr>
              <w:spacing w:after="0"/>
            </w:pPr>
            <w:r/>
            <w:r>
              <w:rPr>
                <w:rFonts w:ascii="Times New Roman" w:hAnsi="Times New Roman"/>
                <w:b w:val="0"/>
                <w:sz w:val="18"/>
              </w:rPr>
              <w:t>55</w:t>
            </w:r>
          </w:p>
        </w:tc>
        <w:tc>
          <w:tcPr>
            <w:tcW w:type="dxa" w:w="1958"/>
            <w:vAlign w:val="center"/>
          </w:tcPr>
          <w:p>
            <w:pPr>
              <w:spacing w:after="0"/>
            </w:pPr>
            <w:r/>
            <w:r>
              <w:rPr>
                <w:rFonts w:ascii="Times New Roman" w:hAnsi="Times New Roman"/>
                <w:b w:val="0"/>
                <w:sz w:val="18"/>
              </w:rPr>
              <w:t>55</w:t>
            </w:r>
          </w:p>
        </w:tc>
        <w:tc>
          <w:tcPr>
            <w:tcW w:type="dxa" w:w="1958"/>
            <w:vAlign w:val="center"/>
          </w:tcPr>
          <w:p>
            <w:pPr>
              <w:spacing w:after="0"/>
            </w:pPr>
            <w:r/>
            <w:r>
              <w:rPr>
                <w:rFonts w:ascii="Times New Roman" w:hAnsi="Times New Roman"/>
                <w:b w:val="0"/>
                <w:sz w:val="18"/>
              </w:rPr>
              <w:t>55</w:t>
            </w:r>
          </w:p>
        </w:tc>
      </w:tr>
      <w:tr>
        <w:tc>
          <w:tcPr>
            <w:tcW w:type="dxa" w:w="1958"/>
            <w:vAlign w:val="center"/>
          </w:tcPr>
          <w:p>
            <w:pPr>
              <w:spacing w:after="0"/>
            </w:pPr>
            <w:r/>
            <w:r>
              <w:rPr>
                <w:rFonts w:ascii="Times New Roman" w:hAnsi="Times New Roman"/>
                <w:b w:val="0"/>
                <w:sz w:val="18"/>
              </w:rPr>
              <w:t>CMYKW</w:t>
            </w:r>
          </w:p>
        </w:tc>
        <w:tc>
          <w:tcPr>
            <w:tcW w:type="dxa" w:w="1958"/>
            <w:vAlign w:val="center"/>
          </w:tcPr>
          <w:p>
            <w:pPr>
              <w:spacing w:after="0"/>
            </w:pPr>
            <w:r/>
            <w:r>
              <w:rPr>
                <w:rFonts w:ascii="Times New Roman" w:hAnsi="Times New Roman"/>
                <w:b w:val="0"/>
                <w:sz w:val="18"/>
              </w:rPr>
              <w:t>95</w:t>
            </w:r>
          </w:p>
        </w:tc>
        <w:tc>
          <w:tcPr>
            <w:tcW w:type="dxa" w:w="1958"/>
            <w:vAlign w:val="center"/>
          </w:tcPr>
          <w:p>
            <w:pPr>
              <w:spacing w:after="0"/>
            </w:pPr>
            <w:r/>
            <w:r>
              <w:rPr>
                <w:rFonts w:ascii="Times New Roman" w:hAnsi="Times New Roman"/>
                <w:b w:val="0"/>
                <w:sz w:val="18"/>
              </w:rPr>
              <w:t>305</w:t>
            </w:r>
          </w:p>
        </w:tc>
        <w:tc>
          <w:tcPr>
            <w:tcW w:type="dxa" w:w="1958"/>
            <w:vAlign w:val="center"/>
          </w:tcPr>
          <w:p>
            <w:pPr>
              <w:spacing w:after="0"/>
            </w:pPr>
            <w:r/>
            <w:r>
              <w:rPr>
                <w:rFonts w:ascii="Times New Roman" w:hAnsi="Times New Roman"/>
                <w:b w:val="0"/>
                <w:sz w:val="18"/>
              </w:rPr>
              <w:t>386</w:t>
            </w:r>
          </w:p>
        </w:tc>
        <w:tc>
          <w:tcPr>
            <w:tcW w:type="dxa" w:w="1958"/>
            <w:vAlign w:val="center"/>
          </w:tcPr>
          <w:p>
            <w:pPr>
              <w:spacing w:after="0"/>
            </w:pPr>
            <w:r/>
            <w:r>
              <w:rPr>
                <w:rFonts w:ascii="Times New Roman" w:hAnsi="Times New Roman"/>
                <w:b w:val="0"/>
                <w:sz w:val="18"/>
              </w:rPr>
              <w:t>386</w:t>
            </w:r>
          </w:p>
        </w:tc>
      </w:tr>
      <w:tr>
        <w:tc>
          <w:tcPr>
            <w:tcW w:type="dxa" w:w="1958"/>
            <w:vAlign w:val="center"/>
          </w:tcPr>
          <w:p>
            <w:pPr>
              <w:spacing w:after="0"/>
            </w:pPr>
            <w:r/>
            <w:r>
              <w:rPr>
                <w:rFonts w:ascii="Times New Roman" w:hAnsi="Times New Roman"/>
                <w:b w:val="0"/>
                <w:sz w:val="18"/>
              </w:rPr>
              <w:t>CMYKWN</w:t>
            </w:r>
          </w:p>
        </w:tc>
        <w:tc>
          <w:tcPr>
            <w:tcW w:type="dxa" w:w="1958"/>
            <w:vAlign w:val="center"/>
          </w:tcPr>
          <w:p>
            <w:pPr>
              <w:spacing w:after="0"/>
            </w:pPr>
            <w:r/>
            <w:r>
              <w:rPr>
                <w:rFonts w:ascii="Times New Roman" w:hAnsi="Times New Roman"/>
                <w:b w:val="0"/>
                <w:sz w:val="18"/>
              </w:rPr>
              <w:t>141</w:t>
            </w:r>
          </w:p>
        </w:tc>
        <w:tc>
          <w:tcPr>
            <w:tcW w:type="dxa" w:w="1958"/>
            <w:vAlign w:val="center"/>
          </w:tcPr>
          <w:p>
            <w:pPr>
              <w:spacing w:after="0"/>
            </w:pPr>
            <w:r/>
            <w:r>
              <w:rPr>
                <w:rFonts w:ascii="Times New Roman" w:hAnsi="Times New Roman"/>
                <w:b w:val="0"/>
                <w:sz w:val="18"/>
              </w:rPr>
              <w:t>551</w:t>
            </w:r>
          </w:p>
        </w:tc>
        <w:tc>
          <w:tcPr>
            <w:tcW w:type="dxa" w:w="1958"/>
            <w:vAlign w:val="center"/>
          </w:tcPr>
          <w:p>
            <w:pPr>
              <w:spacing w:after="0"/>
            </w:pPr>
            <w:r/>
            <w:r>
              <w:rPr>
                <w:rFonts w:ascii="Times New Roman" w:hAnsi="Times New Roman"/>
                <w:b w:val="0"/>
                <w:sz w:val="18"/>
              </w:rPr>
              <w:t>812</w:t>
            </w:r>
          </w:p>
        </w:tc>
        <w:tc>
          <w:tcPr>
            <w:tcW w:type="dxa" w:w="1958"/>
            <w:vAlign w:val="center"/>
          </w:tcPr>
          <w:p>
            <w:pPr>
              <w:spacing w:after="0"/>
            </w:pPr>
            <w:r/>
            <w:r>
              <w:rPr>
                <w:rFonts w:ascii="Times New Roman" w:hAnsi="Times New Roman"/>
                <w:b w:val="0"/>
                <w:sz w:val="18"/>
              </w:rPr>
              <w:t>813</w:t>
            </w:r>
          </w:p>
        </w:tc>
      </w:tr>
      <w:tr>
        <w:tc>
          <w:tcPr>
            <w:tcW w:type="dxa" w:w="1958"/>
            <w:vAlign w:val="center"/>
          </w:tcPr>
          <w:p>
            <w:pPr>
              <w:spacing w:after="0"/>
            </w:pPr>
            <w:r/>
            <w:r>
              <w:rPr>
                <w:rFonts w:ascii="Times New Roman" w:hAnsi="Times New Roman"/>
                <w:b w:val="0"/>
                <w:sz w:val="18"/>
              </w:rPr>
              <w:t>CMY + OVG</w:t>
            </w:r>
          </w:p>
        </w:tc>
        <w:tc>
          <w:tcPr>
            <w:tcW w:type="dxa" w:w="1958"/>
            <w:vAlign w:val="center"/>
          </w:tcPr>
          <w:p>
            <w:pPr>
              <w:spacing w:after="0"/>
            </w:pPr>
            <w:r/>
            <w:r>
              <w:rPr>
                <w:rFonts w:ascii="Times New Roman" w:hAnsi="Times New Roman"/>
                <w:b w:val="0"/>
                <w:sz w:val="18"/>
              </w:rPr>
              <w:t>141</w:t>
            </w:r>
          </w:p>
        </w:tc>
        <w:tc>
          <w:tcPr>
            <w:tcW w:type="dxa" w:w="1958"/>
            <w:vAlign w:val="center"/>
          </w:tcPr>
          <w:p>
            <w:pPr>
              <w:spacing w:after="0"/>
            </w:pPr>
            <w:r/>
            <w:r>
              <w:rPr>
                <w:rFonts w:ascii="Times New Roman" w:hAnsi="Times New Roman"/>
                <w:b w:val="0"/>
                <w:sz w:val="18"/>
              </w:rPr>
              <w:t>551</w:t>
            </w:r>
          </w:p>
        </w:tc>
        <w:tc>
          <w:tcPr>
            <w:tcW w:type="dxa" w:w="1958"/>
            <w:vAlign w:val="center"/>
          </w:tcPr>
          <w:p>
            <w:pPr>
              <w:spacing w:after="0"/>
            </w:pPr>
            <w:r/>
            <w:r>
              <w:rPr>
                <w:rFonts w:ascii="Times New Roman" w:hAnsi="Times New Roman"/>
                <w:b w:val="0"/>
                <w:sz w:val="18"/>
              </w:rPr>
              <w:t>812</w:t>
            </w:r>
          </w:p>
        </w:tc>
        <w:tc>
          <w:tcPr>
            <w:tcW w:type="dxa" w:w="1958"/>
            <w:vAlign w:val="center"/>
          </w:tcPr>
          <w:p>
            <w:pPr>
              <w:spacing w:after="0"/>
            </w:pPr>
            <w:r/>
            <w:r>
              <w:rPr>
                <w:rFonts w:ascii="Times New Roman" w:hAnsi="Times New Roman"/>
                <w:b w:val="0"/>
                <w:sz w:val="18"/>
              </w:rPr>
              <w:t>813</w:t>
            </w:r>
          </w:p>
        </w:tc>
      </w:tr>
      <w:tr>
        <w:tc>
          <w:tcPr>
            <w:tcW w:type="dxa" w:w="1958"/>
            <w:vAlign w:val="center"/>
          </w:tcPr>
          <w:p>
            <w:pPr>
              <w:spacing w:after="0"/>
            </w:pPr>
            <w:r/>
            <w:r>
              <w:rPr>
                <w:rFonts w:ascii="Times New Roman" w:hAnsi="Times New Roman"/>
                <w:b w:val="0"/>
                <w:sz w:val="18"/>
              </w:rPr>
              <w:t>CMYKWN + OVG</w:t>
            </w:r>
          </w:p>
        </w:tc>
        <w:tc>
          <w:tcPr>
            <w:tcW w:type="dxa" w:w="1958"/>
            <w:vAlign w:val="center"/>
          </w:tcPr>
          <w:p>
            <w:pPr>
              <w:spacing w:after="0"/>
            </w:pPr>
            <w:r/>
            <w:r>
              <w:rPr>
                <w:rFonts w:ascii="Times New Roman" w:hAnsi="Times New Roman"/>
                <w:b w:val="0"/>
                <w:sz w:val="18"/>
              </w:rPr>
              <w:t>333</w:t>
            </w:r>
          </w:p>
        </w:tc>
        <w:tc>
          <w:tcPr>
            <w:tcW w:type="dxa" w:w="1958"/>
            <w:vAlign w:val="center"/>
          </w:tcPr>
          <w:p>
            <w:pPr>
              <w:spacing w:after="0"/>
            </w:pPr>
            <w:r/>
            <w:r>
              <w:rPr>
                <w:rFonts w:ascii="Times New Roman" w:hAnsi="Times New Roman"/>
                <w:b w:val="0"/>
                <w:sz w:val="18"/>
              </w:rPr>
              <w:t>2001</w:t>
            </w:r>
          </w:p>
        </w:tc>
        <w:tc>
          <w:tcPr>
            <w:tcW w:type="dxa" w:w="1958"/>
            <w:vAlign w:val="center"/>
          </w:tcPr>
          <w:p>
            <w:pPr>
              <w:spacing w:after="0"/>
            </w:pPr>
            <w:r/>
            <w:r>
              <w:rPr>
                <w:rFonts w:ascii="Times New Roman" w:hAnsi="Times New Roman"/>
                <w:b w:val="0"/>
                <w:sz w:val="18"/>
              </w:rPr>
              <w:t>4647</w:t>
            </w:r>
          </w:p>
        </w:tc>
        <w:tc>
          <w:tcPr>
            <w:tcW w:type="dxa" w:w="1958"/>
            <w:vAlign w:val="center"/>
          </w:tcPr>
          <w:p>
            <w:pPr>
              <w:spacing w:after="0"/>
            </w:pPr>
            <w:r/>
            <w:r>
              <w:rPr>
                <w:rFonts w:ascii="Times New Roman" w:hAnsi="Times New Roman"/>
                <w:b w:val="0"/>
                <w:sz w:val="18"/>
              </w:rPr>
              <w:t>4731</w:t>
            </w:r>
          </w:p>
        </w:tc>
      </w:tr>
    </w:tbl>
    <w:p>
      <w:pPr>
        <w:spacing w:after="160"/>
      </w:pPr>
    </w:p>
    <w:p>
      <w:pPr>
        <w:spacing w:before="160" w:after="120"/>
        <w:jc w:val="center"/>
      </w:pPr>
      <w:r>
        <w:drawing>
          <wp:inline xmlns:a="http://schemas.openxmlformats.org/drawingml/2006/main" xmlns:pic="http://schemas.openxmlformats.org/drawingml/2006/picture">
            <wp:extent cx="5852160" cy="6385782"/>
            <wp:docPr id="2" name="Picture 2"/>
            <wp:cNvGraphicFramePr>
              <a:graphicFrameLocks noChangeAspect="1"/>
            </wp:cNvGraphicFramePr>
            <a:graphic>
              <a:graphicData uri="http://schemas.openxmlformats.org/drawingml/2006/picture">
                <pic:pic>
                  <pic:nvPicPr>
                    <pic:cNvPr id="0" name="fig02_cmy_weave_composition_voronoi.png"/>
                    <pic:cNvPicPr/>
                  </pic:nvPicPr>
                  <pic:blipFill>
                    <a:blip r:embed="rId10"/>
                    <a:stretch>
                      <a:fillRect/>
                    </a:stretch>
                  </pic:blipFill>
                  <pic:spPr>
                    <a:xfrm>
                      <a:off x="0" y="0"/>
                      <a:ext cx="5852160" cy="6385782"/>
                    </a:xfrm>
                    <a:prstGeom prst="rect"/>
                  </pic:spPr>
                </pic:pic>
              </a:graphicData>
            </a:graphic>
          </wp:inline>
        </w:drawing>
      </w:r>
    </w:p>
    <w:p>
      <w:pPr>
        <w:spacing w:after="200" w:line="252" w:lineRule="auto"/>
      </w:pPr>
      <w:r>
        <w:rPr>
          <w:rFonts w:ascii="Times New Roman" w:hAnsi="Times New Roman"/>
          <w:b w:val="0"/>
          <w:i/>
          <w:sz w:val="18"/>
        </w:rPr>
        <w:t>Figure 2. CMY weave Voronoi gamuts under three palette constraints. Rows compare increasing design complexity: maximum weave height up to 6 with written-token repeat limit 2 and at most 2 distinct colors; maximum weave height up to 6 with written-token repeat limit 3 and at most 3 distinct colors; and maximum weave height up to 7 with written-token repeat limit 6 and at most 3 distinct colors. Columns show each gamut as layered tile stacks, solid-color sites in ternary CMY space, and numbered Voronoi regions indicating nearest-color partitions.</w:t>
      </w:r>
    </w:p>
    <w:p>
      <w:pPr>
        <w:spacing w:after="120" w:line="252" w:lineRule="auto"/>
      </w:pPr>
      <w:r>
        <w:rPr>
          <w:rFonts w:ascii="Times New Roman" w:hAnsi="Times New Roman"/>
          <w:b w:val="0"/>
          <w:i w:val="0"/>
        </w:rPr>
        <w:t>The primary design tradeoff is between palette density and visible striation. Striation increases with layer height and depends strongly on surface orientation, as shown by gamuts printed at 10°, 45°, and 90° (Fig. 3; Fig. S7). Reducing layer height visibly improved integration: patterns that showed stronger striping at 0.12 mm appeared smoother at 0.08 mm, and 0.16 mm Benchy prints showed the strongest layer visibility (Fig. S8). Rotating models so that broad surfaces are not perpendicular to the build plate also improves visual integration (Fig. 3B). Striation varies across gamut space, with repeated same-color layers and high-contrast neighboring filaments revealing the woven structure most strongly.</w:t>
      </w:r>
    </w:p>
    <w:p>
      <w:pPr>
        <w:spacing w:before="160" w:after="120"/>
        <w:jc w:val="center"/>
      </w:pPr>
      <w:r>
        <w:drawing>
          <wp:inline xmlns:a="http://schemas.openxmlformats.org/drawingml/2006/main" xmlns:pic="http://schemas.openxmlformats.org/drawingml/2006/picture">
            <wp:extent cx="5852160" cy="2788442"/>
            <wp:docPr id="3" name="Picture 3"/>
            <wp:cNvGraphicFramePr>
              <a:graphicFrameLocks noChangeAspect="1"/>
            </wp:cNvGraphicFramePr>
            <a:graphic>
              <a:graphicData uri="http://schemas.openxmlformats.org/drawingml/2006/picture">
                <pic:pic>
                  <pic:nvPicPr>
                    <pic:cNvPr id="0" name="fig03_orientation_striation_effects.png"/>
                    <pic:cNvPicPr/>
                  </pic:nvPicPr>
                  <pic:blipFill>
                    <a:blip r:embed="rId11"/>
                    <a:stretch>
                      <a:fillRect/>
                    </a:stretch>
                  </pic:blipFill>
                  <pic:spPr>
                    <a:xfrm>
                      <a:off x="0" y="0"/>
                      <a:ext cx="5852160" cy="2788442"/>
                    </a:xfrm>
                    <a:prstGeom prst="rect"/>
                  </pic:spPr>
                </pic:pic>
              </a:graphicData>
            </a:graphic>
          </wp:inline>
        </w:drawing>
      </w:r>
    </w:p>
    <w:p>
      <w:pPr>
        <w:spacing w:after="200" w:line="252" w:lineRule="auto"/>
      </w:pPr>
      <w:r>
        <w:rPr>
          <w:rFonts w:ascii="Times New Roman" w:hAnsi="Times New Roman"/>
          <w:b w:val="0"/>
          <w:i/>
          <w:sz w:val="18"/>
        </w:rPr>
        <w:t>Figure 3. Surface orientation and weave complexity control visible striation. A. The same woven triangular gamut printed at different build orientations illustrates how low-angle surfaces expose the Z-layer sequence, whereas steeper orientations visually integrate the woven layers more effectively. B. Rotating 3DBenchy reduces broad surfaces parallel to the build plate, limiting visible weave artifacts on flat features such as the cabin roof. C–E. Controlled triangular gamut samples printed at 0.12 mm layer height and tilted by 10°, 45°, and 90°. Rows compare increasing palette-complexity constraints: C, (6,2,2); D, (6,3,3); and E, (7,6,3), where the tuple denotes maximum stack height, maximum repeated-color run length in the written token, and maximum number of distinct colors. Longer or more complex weave patterns increase accessible recipe density but can make layer structure more visible, especially on shallow surfaces.</w:t>
      </w:r>
    </w:p>
    <w:p>
      <w:pPr>
        <w:pStyle w:val="Heading2"/>
        <w:spacing w:after="120" w:line="252" w:lineRule="auto"/>
      </w:pPr>
      <w:r>
        <w:rPr>
          <w:rFonts w:ascii="Times New Roman" w:hAnsi="Times New Roman"/>
          <w:b w:val="0"/>
          <w:i w:val="0"/>
        </w:rPr>
        <w:t>Application Models and Visible Striation</w:t>
      </w:r>
    </w:p>
    <w:p>
      <w:pPr>
        <w:spacing w:after="120" w:line="252" w:lineRule="auto"/>
      </w:pPr>
      <w:r>
        <w:rPr>
          <w:rFonts w:ascii="Times New Roman" w:hAnsi="Times New Roman"/>
          <w:b w:val="0"/>
          <w:i w:val="0"/>
        </w:rPr>
        <w:t>To evaluate LayerLoom on practical printed geometries beyond flat gamut samples, we tested 107 weave patterns using CMYKW colors at a 0.16 mm layer height; the endpoint filaments are listed in Table S5, and the Benchy gallery is shown in Fig. S8. 3DBenchy was used as a familiar benchmark geometry for assessing visible striation on non-planar surfaces (Tools, 2015). Two-color weaves at the smallest tested layer height produced the smoothest results. The Benchy prints reproduced the orientation-dependent striation trends observed in the gamut samples: sidewalls blended more smoothly, whereas top and bottom surfaces exposed the layer sequence more strongly. Lower-contrast, lower-layer-height models showed the least striation.</w:t>
      </w:r>
    </w:p>
    <w:p>
      <w:pPr>
        <w:spacing w:after="120" w:line="252" w:lineRule="auto"/>
      </w:pPr>
      <w:r>
        <w:rPr>
          <w:rFonts w:ascii="Times New Roman" w:hAnsi="Times New Roman"/>
          <w:b w:val="0"/>
          <w:i w:val="0"/>
        </w:rPr>
        <w:t>Scientific visualization is a natural use case because many models require more color-coded categories than available filament slots. We applied LayerLoom to protein-structure visualizations generated from RMSX and Flipbook molecular-dynamics snapshots (citation omitted for anonymous review). The snapshots were exported from ChimeraX as GLB files (Meng et al., 2023), imported into LayerLoom, automatically mapped to woven recipes from their GLB color information, and sliced in OrcaSlicer at a 0.12 mm layer height. The final print preserved the main regions of higher and lower molecular motion, with the strongest striation again appearing on regions perpendicular to the build plate. LayerLoom also supports color-coded 3D graphics and anatomical models, where discrete regions may require more displayed colors than the number of loaded filaments, as shown in the foot skeleton example (Fig. 4B). These examples show how woven color can encode semantic categories without assigning each category to a separate physical material.</w:t>
      </w:r>
    </w:p>
    <w:p>
      <w:pPr>
        <w:spacing w:before="160" w:after="120"/>
        <w:jc w:val="center"/>
      </w:pPr>
      <w:r>
        <w:drawing>
          <wp:inline xmlns:a="http://schemas.openxmlformats.org/drawingml/2006/main" xmlns:pic="http://schemas.openxmlformats.org/drawingml/2006/picture">
            <wp:extent cx="5852160" cy="2700237"/>
            <wp:docPr id="4" name="Picture 4"/>
            <wp:cNvGraphicFramePr>
              <a:graphicFrameLocks noChangeAspect="1"/>
            </wp:cNvGraphicFramePr>
            <a:graphic>
              <a:graphicData uri="http://schemas.openxmlformats.org/drawingml/2006/picture">
                <pic:pic>
                  <pic:nvPicPr>
                    <pic:cNvPr id="0" name="fig04_applications_scientific_visualization.png"/>
                    <pic:cNvPicPr/>
                  </pic:nvPicPr>
                  <pic:blipFill>
                    <a:blip r:embed="rId12"/>
                    <a:stretch>
                      <a:fillRect/>
                    </a:stretch>
                  </pic:blipFill>
                  <pic:spPr>
                    <a:xfrm>
                      <a:off x="0" y="0"/>
                      <a:ext cx="5852160" cy="2700237"/>
                    </a:xfrm>
                    <a:prstGeom prst="rect"/>
                  </pic:spPr>
                </pic:pic>
              </a:graphicData>
            </a:graphic>
          </wp:inline>
        </w:drawing>
      </w:r>
    </w:p>
    <w:p>
      <w:pPr>
        <w:spacing w:after="200" w:line="252" w:lineRule="auto"/>
      </w:pPr>
      <w:r>
        <w:rPr>
          <w:rFonts w:ascii="Times New Roman" w:hAnsi="Times New Roman"/>
          <w:b w:val="0"/>
          <w:i/>
          <w:sz w:val="18"/>
        </w:rPr>
        <w:t>Figure 4. LayerLoom applied to scientific and anatomical visualization. A. LayerLoom graphical interface for assigning woven color recipes to imported model components, shown with a color-coded human foot skeleton model. B. Printed human foot skeleton model adapted from Printables (Fheder, 2024). Eleven displayed colors distinguish major hindfoot, midfoot, and forefoot structures despite using only three physical CMY filaments. C. Printed protein-structure snapshots generated with RMSX/Flipbook from NAMD molecular-dynamics trajectories (citation omitted for anonymous review). Woven colors preserve complex spatial color annotations across non-planar scientific geometries.</w:t>
      </w:r>
    </w:p>
    <w:p>
      <w:pPr>
        <w:pStyle w:val="Heading2"/>
        <w:spacing w:after="120" w:line="252" w:lineRule="auto"/>
      </w:pPr>
      <w:r>
        <w:rPr>
          <w:rFonts w:ascii="Times New Roman" w:hAnsi="Times New Roman"/>
          <w:b w:val="0"/>
          <w:i w:val="0"/>
        </w:rPr>
        <w:t>Benchmark Measurements Show Low Overhead When Woven Colors Reuse Existing Filaments</w:t>
      </w:r>
    </w:p>
    <w:p>
      <w:pPr>
        <w:spacing w:after="120" w:line="252" w:lineRule="auto"/>
      </w:pPr>
      <w:r>
        <w:rPr>
          <w:rFonts w:ascii="Times New Roman" w:hAnsi="Times New Roman"/>
          <w:b w:val="0"/>
          <w:i w:val="0"/>
        </w:rPr>
        <w:t>To compare conventional multi-material FFF workflows with LayerLoom woven-color workflows, we generated a 3-by-3 arrangement of cubes, with each cube having a 15 mm edge length and a 3 mm gap between neighboring cubes. This produced a total model footprint of 51 × 51 × 15 mm.</w:t>
      </w:r>
    </w:p>
    <w:p>
      <w:pPr>
        <w:spacing w:after="120" w:line="252" w:lineRule="auto"/>
      </w:pPr>
      <w:r>
        <w:rPr>
          <w:rFonts w:ascii="Times New Roman" w:hAnsi="Times New Roman"/>
          <w:b w:val="0"/>
          <w:i w:val="0"/>
        </w:rPr>
        <w:t>For each model arrangement (Fig. 5; Table S3), models were sliced using a 0.12 mm layer height and a 0.24 mm initial layer height. Unless otherwise noted, slicer-default process settings were used, including 15% infill; the Bambu Studio project metadata records two wall loops. We compared the multi-nozzle Snapmaker U1, the multi-tool Prusa XL, and the filament-swapping Bambu Lab X1C. Snapmaker U1 and Bambu Lab X1C values were measured from completed prints, including actual elapsed print time and total filament use recorded for each build. Prusa XL values were included as PrusaSlicer 2.9.4 estimates to compare the same benchmark arrangements on a second multi-tool workflow. Since PrusaSlicer did not include a default 0.12 mm profile for the Prusa XL, we modified the 0.10 mm DETAIL profile to use a 0.12 mm layer height and 0.24 mm first-layer height. These measurements and estimates test a specific practical consequence of geometry-encoded layer scheduling: slicers plan toolpaths by physical filament assignment on each layer, not by the nominal number of displayed colors in the model. Across the tested workflows, the smallest overhead was observed when woven components reused physical filaments that were already required on the same layers of the build (Fig. 5A–B). This comparison is represented by arrangements such as A1 versus A2 and A1 versus A3, where additional woven colors are introduced without requiring an additional physical filament channel.</w:t>
      </w:r>
    </w:p>
    <w:p>
      <w:pPr>
        <w:spacing w:after="120" w:line="252" w:lineRule="auto"/>
      </w:pPr>
      <w:r>
        <w:rPr>
          <w:rFonts w:ascii="Times New Roman" w:hAnsi="Times New Roman"/>
          <w:b w:val="0"/>
          <w:i w:val="0"/>
        </w:rPr>
        <w:t>The effect was clearest for the multi-nozzle and multi-tool workflows: the Prusa XL estimates were essentially unchanged from A1 to A3, and the measured Snapmaker U1 changes were small. The filament-swapping Bambu X1C showed larger time and material differences, consistent with the higher cost of material switching on single-nozzle systems, but the largest increase occurred when an additional physical filament was introduced rather than when additional woven recipes reused already loaded base filaments. These benchmarks do not show that woven color is always free. Instead, they show that displayed color count and physical filament count are separate quantities: when woven colors reuse filaments already active on the relevant layers, additional displayed colors can be introduced with comparatively small overhead.</w:t>
      </w:r>
    </w:p>
    <w:p>
      <w:pPr>
        <w:spacing w:before="160" w:after="120"/>
        <w:jc w:val="center"/>
      </w:pPr>
      <w:r>
        <w:drawing>
          <wp:inline xmlns:a="http://schemas.openxmlformats.org/drawingml/2006/main" xmlns:pic="http://schemas.openxmlformats.org/drawingml/2006/picture">
            <wp:extent cx="5852160" cy="2609998"/>
            <wp:docPr id="5" name="Picture 5"/>
            <wp:cNvGraphicFramePr>
              <a:graphicFrameLocks noChangeAspect="1"/>
            </wp:cNvGraphicFramePr>
            <a:graphic>
              <a:graphicData uri="http://schemas.openxmlformats.org/drawingml/2006/picture">
                <pic:pic>
                  <pic:nvPicPr>
                    <pic:cNvPr id="0" name="fig05_time_filament_benchmark.png"/>
                    <pic:cNvPicPr/>
                  </pic:nvPicPr>
                  <pic:blipFill>
                    <a:blip r:embed="rId13"/>
                    <a:stretch>
                      <a:fillRect/>
                    </a:stretch>
                  </pic:blipFill>
                  <pic:spPr>
                    <a:xfrm>
                      <a:off x="0" y="0"/>
                      <a:ext cx="5852160" cy="2609998"/>
                    </a:xfrm>
                    <a:prstGeom prst="rect"/>
                  </pic:spPr>
                </pic:pic>
              </a:graphicData>
            </a:graphic>
          </wp:inline>
        </w:drawing>
      </w:r>
    </w:p>
    <w:p>
      <w:pPr>
        <w:spacing w:after="200" w:line="252" w:lineRule="auto"/>
      </w:pPr>
      <w:r>
        <w:rPr>
          <w:rFonts w:ascii="Times New Roman" w:hAnsi="Times New Roman"/>
          <w:b w:val="0"/>
          <w:i/>
          <w:sz w:val="18"/>
        </w:rPr>
        <w:t>Figure 5. Print time and material use for nine-cube multi-material benchmarks. Five 3-by-3 cube-array arrangements were compared on the Snapmaker U1, Prusa XL, and Bambu Lab X1C. Build plates below the bars show each arrangement; ratio labels indicate woven cubes generated from two physical filaments. Cubes are 15 mm per edge and were sliced at 0.12 mm layer height with two exterior walls. A. Print time. B. Recorded total filament used. A1–A3 add woven colors while reusing already loaded filaments, whereas A4–A5 add another physical filament color. In these benchmarks, woven colors impose the least overhead when they reuse filaments already required by the print. Snapmaker U1 and Bambu Lab X1C values are measured from completed prints; Prusa XL values are slicer estimates.</w:t>
      </w:r>
    </w:p>
    <w:p>
      <w:pPr>
        <w:pStyle w:val="Heading2"/>
        <w:spacing w:after="120" w:line="252" w:lineRule="auto"/>
      </w:pPr>
      <w:r>
        <w:rPr>
          <w:rFonts w:ascii="Times New Roman" w:hAnsi="Times New Roman"/>
          <w:b w:val="0"/>
          <w:i w:val="0"/>
        </w:rPr>
        <w:t>Expanded Secondary and Neutral Endpoints</w:t>
      </w:r>
    </w:p>
    <w:p>
      <w:pPr>
        <w:spacing w:after="120" w:line="252" w:lineRule="auto"/>
      </w:pPr>
      <w:r>
        <w:rPr>
          <w:rFonts w:ascii="Times New Roman" w:hAnsi="Times New Roman"/>
          <w:b w:val="0"/>
          <w:i w:val="0"/>
        </w:rPr>
        <w:t>The CMY tests demonstrate the basic layer-weaving principle, but the practical palette also depends on the available endpoints. LayerLoom's token representation is not limited to CMY: any loaded filament can be used as an endpoint in the same layer-fraction grammar. We therefore tested secondary and neutral/value filaments by replacing one CMY endpoint at a time with white, light gray, dark neutral gray, black, orange, violet, or green (Fig. 6; Figs. S1–S3; Table S5). These prints sample three-filament slices of a larger endpoint space rather than the full theoretical combined palette. In the broader theoretical full-palette rule set (H ≤ 6, run ≤ 5, ≤ 5 colors), CMYKW yields 386 unique expected recipes, CMYKWN yields 812, and the one-neutral CMYKWN+OVG palette yields 4,647 theoretical recipes (Table 1). These counts describe expected layer-fraction recipes, not experimentally resolved printed colors.</w:t>
      </w:r>
    </w:p>
    <w:p>
      <w:pPr>
        <w:spacing w:before="160" w:after="120"/>
        <w:jc w:val="center"/>
      </w:pPr>
      <w:r>
        <w:drawing>
          <wp:inline xmlns:a="http://schemas.openxmlformats.org/drawingml/2006/main" xmlns:pic="http://schemas.openxmlformats.org/drawingml/2006/picture">
            <wp:extent cx="5852160" cy="1645553"/>
            <wp:docPr id="6" name="Picture 6"/>
            <wp:cNvGraphicFramePr>
              <a:graphicFrameLocks noChangeAspect="1"/>
            </wp:cNvGraphicFramePr>
            <a:graphic>
              <a:graphicData uri="http://schemas.openxmlformats.org/drawingml/2006/picture">
                <pic:pic>
                  <pic:nvPicPr>
                    <pic:cNvPr id="0" name="fig06_cmykw_ovg_neutral_mosaic.png"/>
                    <pic:cNvPicPr/>
                  </pic:nvPicPr>
                  <pic:blipFill>
                    <a:blip r:embed="rId14"/>
                    <a:stretch>
                      <a:fillRect/>
                    </a:stretch>
                  </pic:blipFill>
                  <pic:spPr>
                    <a:xfrm>
                      <a:off x="0" y="0"/>
                      <a:ext cx="5852160" cy="1645553"/>
                    </a:xfrm>
                    <a:prstGeom prst="rect"/>
                  </pic:spPr>
                </pic:pic>
              </a:graphicData>
            </a:graphic>
          </wp:inline>
        </w:drawing>
      </w:r>
    </w:p>
    <w:p>
      <w:pPr>
        <w:spacing w:after="200" w:line="252" w:lineRule="auto"/>
      </w:pPr>
      <w:r>
        <w:rPr>
          <w:rFonts w:ascii="Times New Roman" w:hAnsi="Times New Roman"/>
          <w:b w:val="0"/>
          <w:i/>
          <w:sz w:val="18"/>
        </w:rPr>
        <w:t>Figure 6. Expanded woven-color design spaces using neutral and secondary endpoints. Each added filament is shown under the two-color and full printed-triangle weave rule sets. Triangular gamut objects retain two CMY endpoints and replace the third endpoint with the added filament: W white, L light gray, N dark neutral gray, K black, O orange, V violet, and G green. The full weave rule set adds denser interior recipes, showing how neutral/value and secondary endpoints expand the LayerLoom design space beyond CMY-only weaving.</w:t>
      </w:r>
    </w:p>
    <w:p>
      <w:pPr>
        <w:spacing w:after="120" w:line="252" w:lineRule="auto"/>
      </w:pPr>
      <w:r>
        <w:rPr>
          <w:rFonts w:ascii="Times New Roman" w:hAnsi="Times New Roman"/>
          <w:b w:val="0"/>
          <w:i w:val="0"/>
        </w:rPr>
        <w:t>Secondary and neutral/value endpoints allow some saturated, dark, light, or low-saturation colors to be represented with nearby physical filaments rather than long, high-contrast CMY-only sequences. This can reduce striation and viewing-angle sensitivity. The expanded endpoint samples therefore show that the token representation scales beyond CMY and provide the printed source data for the calibrated color-coverage analysis.</w:t>
      </w:r>
    </w:p>
    <w:p>
      <w:pPr>
        <w:pStyle w:val="Heading2"/>
        <w:spacing w:after="120" w:line="252" w:lineRule="auto"/>
      </w:pPr>
      <w:r>
        <w:rPr>
          <w:rFonts w:ascii="Times New Roman" w:hAnsi="Times New Roman"/>
          <w:b w:val="0"/>
          <w:i w:val="0"/>
        </w:rPr>
        <w:t>Calibrated Image-Based Color Quantification of Printed Gamuts</w:t>
      </w:r>
    </w:p>
    <w:p>
      <w:pPr>
        <w:spacing w:after="120" w:line="252" w:lineRule="auto"/>
      </w:pPr>
      <w:r>
        <w:rPr>
          <w:rFonts w:ascii="Times New Roman" w:hAnsi="Times New Roman"/>
          <w:b w:val="0"/>
          <w:i w:val="0"/>
        </w:rPr>
        <w:t>Printed gamut samples were quantified from calibrated photographs using a region-aware Python workflow (Figs. 7 and 8; Supplementary Methods). Each photograph was color-corrected using a ColorChecker-based camera profile, registered to the expected LayerLoom region layout, and sampled from eroded interior masks to avoid seams, borders, shadows, layer-edge artifacts, and registration-sensitive boundaries. Median region colors were converted to CIE L*a*b* and compared using CIEDE2000 distances (Commission, 1999; Illumination, 2019; Illumination, 2022; Luo et al., 2001; Sharma et al., 2005). For each measured gamut set, chromatic coverage was summarized by the convex-hull area of the measured a*b* points, and color density was summarized by the median nearest-neighbor distance among measured points. Distinguishable color counts were computed by connecting regions with pairwise ΔE00 below a threshold and counting the resulting graph components. For expanded endpoint analyses, the region counts represent printed observations pooled across three-endpoint substitution gamuts, not unique theoretical recipes from the full combined palette. Detailed camera settings, RAW processing, mask generation, pixel trimming, and repeatability checks are provided in the Supplementary Methods. Using this calibrated image-based workflow, the two-color CMY gamut contained 30 measured regions and produced 30 distinguishable printed clusters at the strict threshold of ΔE00 &lt; 2, with a measured a*b* hull area of 6,226. The full CMY gamut contained 55 measured regions and produced 51 distinguishable clusters at ΔE00 &lt; 2, with a hull area of 6,646. Adding OVG endpoints under the full weave rule set increased the measured set to 495 regions, 152 distinguishable clusters, and a hull area of 8,146. Adding neutral/value endpoints under the full weave rule set increased the measured set to 660 regions, 298 distinguishable clusters, and a hull area of 7,042. The combined expanded endpoint set under the full weave rule set contained 1,210 measured regions, produced 393 distinguishable clusters at ΔE00 &lt; 2, and reached a hull area of 8,752 (Fig. 7; Table S2; Figs. S4–S6). The median nearest-neighbor distance decreased from 6.48 a*b* units for full CMY to 1.57 for the combined expanded endpoint set, indicating increased measured color density as well as expanded coverage. Repeat photographs supported the stability of the calibrated image workflow (Table S4). The duplicate full-rule-set ywm pair was mostly below ΔE00 = 1, with the largest region difference approximately 1.20, and the duplicate two-color CMY pair showed similarly low differences. These repeatability checks indicate that the registered, calibrated photographic workflow was stable for relative comparisons among printed gamut samples. Figure 8 separates nominal palette error from local print uniformity in the simple and full CMY gamuts. The ΔE00 maps and expected-to-measured a*b* shift plots show that measured colors do not follow a calibrated linear optical mixture model. In particular, the cyan endpoint appears darker and bluer than the nominal reference, and yellow-rich mixtures shift substantially when even small amounts of magenta or cyan are introduced. Thus, increased layer fraction does not move printed colors linearly toward the expected vertex colors. These deviations are useful diagnostically: they show that LayerLoom can generate many distinguishable printed colors, while accurate target matching will require empirical or calibrated palette selection. Image analysis and plotting were performed in Python using NumPy, pandas, and Matplotlib (Harris et al., 2020; McKinney, 2010; Hunter, 2007). Because all samples were processed through the same calibrated imaging and analysis workflow, these measurements provide a calibrated, repeatable basis for comparing relative gamut coverage, distinguishable color count, local uniformity, and measured color density across printed designs.</w:t>
      </w:r>
    </w:p>
    <w:p>
      <w:pPr>
        <w:spacing w:before="160" w:after="120"/>
        <w:jc w:val="center"/>
      </w:pPr>
      <w:r>
        <w:drawing>
          <wp:inline xmlns:a="http://schemas.openxmlformats.org/drawingml/2006/main" xmlns:pic="http://schemas.openxmlformats.org/drawingml/2006/picture">
            <wp:extent cx="5852160" cy="4137285"/>
            <wp:docPr id="7" name="Picture 7"/>
            <wp:cNvGraphicFramePr>
              <a:graphicFrameLocks noChangeAspect="1"/>
            </wp:cNvGraphicFramePr>
            <a:graphic>
              <a:graphicData uri="http://schemas.openxmlformats.org/drawingml/2006/picture">
                <pic:pic>
                  <pic:nvPicPr>
                    <pic:cNvPr id="0" name="fig07_image_color_quantification_workflow.png"/>
                    <pic:cNvPicPr/>
                  </pic:nvPicPr>
                  <pic:blipFill>
                    <a:blip r:embed="rId15"/>
                    <a:stretch>
                      <a:fillRect/>
                    </a:stretch>
                  </pic:blipFill>
                  <pic:spPr>
                    <a:xfrm>
                      <a:off x="0" y="0"/>
                      <a:ext cx="5852160" cy="4137285"/>
                    </a:xfrm>
                    <a:prstGeom prst="rect"/>
                  </pic:spPr>
                </pic:pic>
              </a:graphicData>
            </a:graphic>
          </wp:inline>
        </w:drawing>
      </w:r>
    </w:p>
    <w:p>
      <w:pPr>
        <w:spacing w:after="200" w:line="252" w:lineRule="auto"/>
      </w:pPr>
      <w:r>
        <w:rPr>
          <w:rFonts w:ascii="Times New Roman" w:hAnsi="Times New Roman"/>
          <w:b w:val="0"/>
          <w:i/>
          <w:sz w:val="18"/>
        </w:rPr>
        <w:t>Figure 7. Calibrated image-based analysis of printed LayerLoom color coverage. A–D. Region-based image-analysis workflow for the full CMY gamut sample. A. Calibrated photograph. B. Expected LayerLoom regions registered to the photograph. C. Interior sampling masks used to exclude seams, borders, shadows, and edge-registration artifacts. D. Median extracted color for each registered region. E–H. Measured CIE a*b* coverage for printed gamut sets generated with the full printed-triangle weave rule set (H ≤ 6, run ≤ 5, ≤ 3 endpoint colors). Points indicate median printed-region colors, and black outlines indicate measured convex hulls. Per-panel annotations report measured regions, distinguishable clusters at ΔE00 &lt; 2, and measured hull area. E. CMY baseline. F. CMY plus orange, violet, and green. G. CMY plus white, light gray, dark neutral gray, and black. H. Combined CMY, OVG, and neutral/value endpoints. Source strips below each plot show the printed samples included in each measurement set.</w:t>
      </w:r>
    </w:p>
    <w:p>
      <w:pPr>
        <w:spacing w:before="160" w:after="120"/>
        <w:jc w:val="center"/>
      </w:pPr>
      <w:r>
        <w:drawing>
          <wp:inline xmlns:a="http://schemas.openxmlformats.org/drawingml/2006/main" xmlns:pic="http://schemas.openxmlformats.org/drawingml/2006/picture">
            <wp:extent cx="5852160" cy="2632857"/>
            <wp:docPr id="8" name="Picture 8"/>
            <wp:cNvGraphicFramePr>
              <a:graphicFrameLocks noChangeAspect="1"/>
            </wp:cNvGraphicFramePr>
            <a:graphic>
              <a:graphicData uri="http://schemas.openxmlformats.org/drawingml/2006/picture">
                <pic:pic>
                  <pic:nvPicPr>
                    <pic:cNvPr id="0" name="fig08_cmy_color_error_uniformity.png"/>
                    <pic:cNvPicPr/>
                  </pic:nvPicPr>
                  <pic:blipFill>
                    <a:blip r:embed="rId16"/>
                    <a:stretch>
                      <a:fillRect/>
                    </a:stretch>
                  </pic:blipFill>
                  <pic:spPr>
                    <a:xfrm>
                      <a:off x="0" y="0"/>
                      <a:ext cx="5852160" cy="2632857"/>
                    </a:xfrm>
                    <a:prstGeom prst="rect"/>
                  </pic:spPr>
                </pic:pic>
              </a:graphicData>
            </a:graphic>
          </wp:inline>
        </w:drawing>
      </w:r>
    </w:p>
    <w:p>
      <w:pPr>
        <w:spacing w:after="200" w:line="252" w:lineRule="auto"/>
      </w:pPr>
      <w:r>
        <w:rPr>
          <w:rFonts w:ascii="Times New Roman" w:hAnsi="Times New Roman"/>
          <w:b w:val="0"/>
          <w:i/>
          <w:sz w:val="18"/>
        </w:rPr>
        <w:t>Figure 8. Diagnostic color error, local uniformity, and expected-to-measured shifts for CMY gamuts. A–D. Two-color CMY gamut generated with the restricted printed-triangle rule set (H ≤ 6, run ≤ 2, ≤ 2 endpoint colors). A. Spatial map of CIEDE2000 color difference, ΔE00, between each measured printed region and its nominal expected CMY color. B. Within-region color variation, computed as the median ΔE00 distance between sampled pixels and the median color of that region. C. Distribution of region-level ΔE00 errors. Dashed reference lines mark ΔE00 = 2, 5, and 10, and the solid line marks the median error. D. Expected-to-measured shifts in CIE a*b* space. E–H. Full CMY gamut generated with the denser printed-triangle rule set (H ≤ 6, run ≤ 5, ≤ 3 endpoint colors). E. Spatial ΔE00 error map. F. Within-region color variation. G. Distribution of region-level ΔE00 errors. H. Expected-to-measured shifts in CIE a*b* space.</w:t>
      </w:r>
    </w:p>
    <w:p>
      <w:pPr>
        <w:pStyle w:val="Heading1"/>
        <w:spacing w:after="120" w:line="252" w:lineRule="auto"/>
      </w:pPr>
      <w:r>
        <w:rPr>
          <w:rFonts w:ascii="Times New Roman" w:hAnsi="Times New Roman"/>
          <w:b w:val="0"/>
          <w:i w:val="0"/>
        </w:rPr>
        <w:t>Discussion</w:t>
      </w:r>
    </w:p>
    <w:p>
      <w:pPr>
        <w:spacing w:after="120" w:line="252" w:lineRule="auto"/>
      </w:pPr>
      <w:r>
        <w:rPr>
          <w:rFonts w:ascii="Times New Roman" w:hAnsi="Times New Roman"/>
          <w:b w:val="0"/>
          <w:i w:val="0"/>
        </w:rPr>
        <w:t>LayerLoom shows that color expansion in multi-material FFF can be achieved by encoding layer structure directly into printable geometry. Its central contribution is a portable 3MF representation in which the model carries both the object shape and the layer sequence needed to fabricate each woven color. In the tested workflows, many woven recipes remained distinguishable after fabrication, showing that the expanded recipe space produced practical printed colors rather than only theoretical layer-fraction combinations.</w:t>
      </w:r>
    </w:p>
    <w:p>
      <w:pPr>
        <w:spacing w:after="120" w:line="252" w:lineRule="auto"/>
      </w:pPr>
      <w:r>
        <w:rPr>
          <w:rFonts w:ascii="Times New Roman" w:hAnsi="Times New Roman"/>
          <w:b w:val="0"/>
          <w:i w:val="0"/>
        </w:rPr>
        <w:t>These results distinguish recipe space, printed color separation, and target-color accuracy. LayerLoom expands the available layer-fraction recipes and produces many separated measured colors, while accurate target matching remains a separate color-management problem. The full CMY condition yielded 51 distinguishable clusters from 55 regions, and the combined expanded endpoint set yielded 393 clusters from 1,210 regions at (ΔE00 &lt; 2). These counts show separability: many layer-fraction recipes produce different measured colors. The CMY diagnostic plots show where the nominal layer-fraction model diverges from measured printed colors, with the largest shifts near yellow-rich mixtures and around the cyan endpoint (Fig. 8). This indicates that printed color does not follow a simple linear interpolation among nominal CMY vertices, as expected for real filaments whose pigment strength, opacity, scattering, and layer exposure differ among colors. Future versions of LayerLoom could use empirical filament-specific color maps to select weave recipes more accurately.</w:t>
      </w:r>
    </w:p>
    <w:p>
      <w:pPr>
        <w:spacing w:after="120" w:line="252" w:lineRule="auto"/>
      </w:pPr>
      <w:r>
        <w:rPr>
          <w:rFonts w:ascii="Times New Roman" w:hAnsi="Times New Roman"/>
          <w:b w:val="0"/>
          <w:i w:val="0"/>
        </w:rPr>
        <w:t>The dominant design tradeoff is between palette density and surface quality. Longer weave patterns provide more layer-fraction recipes, but they also make the material schedule more visible, particularly on surfaces that expose the Z-stack directly. Shorter patterns and lower layer heights reduce visible striation; in the printed comparisons, reducing layer height from 0.12 mm to 0.08 mm made woven regions visibly cleaner, while 0.16 mm prints showed stronger layer structure. The printed gamut samples and Benchy tests show that this tradeoff is geometry-dependent. Vertical or steeply sloped sidewalls visually integrate alternating layers more effectively, whereas broad top or bottom surfaces expose the layer sequence and make the weave more visible. This means weave selection should not be treated as a ratio-selection problem alone. The best pattern for a target color depends on layer height, local surface orientation, filament contrast, and expected viewing conditions.</w:t>
      </w:r>
    </w:p>
    <w:p>
      <w:pPr>
        <w:spacing w:after="120" w:line="252" w:lineRule="auto"/>
      </w:pPr>
      <w:r>
        <w:rPr>
          <w:rFonts w:ascii="Times New Roman" w:hAnsi="Times New Roman"/>
          <w:b w:val="0"/>
          <w:i w:val="0"/>
        </w:rPr>
        <w:t>LayerLoom's main advantage over slicer-native color-mixing workflows is that the material schedule is stored in the model rather than reconstructed by a specific slicer. Slicer-level systems can represent mixed colors as virtual materials during project setup, but the resulting schedule depends on that software's internal model and G-code generation. LayerLoom instead stores the repeated layer sequence directly in the 3MF as filament-specific geometry. Downstream slicers do not need to know what a woven color is; they only need to preserve the generated Z positions and assign the resulting objects to the corresponding physical filaments. This allows the same woven model to be transferred across ordinary multi-material slicers without specialized color-mixing hardware, custom feedstock, modified G-code, direct machine control, or slicer-specific mixed-color support.</w:t>
      </w:r>
    </w:p>
    <w:p>
      <w:pPr>
        <w:spacing w:after="120" w:line="252" w:lineRule="auto"/>
      </w:pPr>
      <w:r>
        <w:rPr>
          <w:rFonts w:ascii="Times New Roman" w:hAnsi="Times New Roman"/>
          <w:b w:val="0"/>
          <w:i w:val="0"/>
        </w:rPr>
        <w:t>The benchmark results reinforce the same point. Additional woven regions added the least overhead when they reused filaments already active on the relevant layers, while the largest increases in time and material use occurred when additional physical filament channels were introduced. This makes LayerLoom most useful for models where color is used to label information rather than to change material properties: scientific visualizations, anatomical models, educational objects, and color-coded prototypes.</w:t>
      </w:r>
    </w:p>
    <w:p>
      <w:pPr>
        <w:spacing w:after="120" w:line="252" w:lineRule="auto"/>
      </w:pPr>
      <w:r>
        <w:rPr>
          <w:rFonts w:ascii="Times New Roman" w:hAnsi="Times New Roman"/>
          <w:b w:val="0"/>
          <w:i w:val="0"/>
        </w:rPr>
        <w:t>Although this study focuses on color, the same geometry-level scheduling idea could later be tested for other multi-material properties. Layer-wise organization may affect optical appearance, interfaces, stiffness, damping, or fracture behavior, depending on the material pair and printed geometry. Those questions require mechanical or functional testing beyond the scope of this manuscript. This study establishes the color case first: layer-wise material order can be written into portable 3MF geometry, and that representation is sufficient to produce more distinguishable printed colors on ordinary multi-material FFF printers.</w:t>
      </w:r>
    </w:p>
    <w:p>
      <w:pPr>
        <w:spacing w:after="120" w:line="252" w:lineRule="auto"/>
      </w:pPr>
      <w:r>
        <w:rPr>
          <w:rFonts w:ascii="Times New Roman" w:hAnsi="Times New Roman"/>
          <w:b w:val="0"/>
          <w:i w:val="0"/>
        </w:rPr>
        <w:t>Overall, LayerLoom shows that expanded-color FFF does not require expanded hardware or direct G-code manipulation. By encoding layer-level material schedules directly into 3MF geometry, the model carries the color program needed to generate woven printed colors, and existing slicers and printers execute that program as ordinary multi-material geometry. Any FFF printer that can switch between loaded filaments can therefore reliably produce more distinguishable displayed colors than the number of loaded materials would otherwise allow.</w:t>
      </w:r>
    </w:p>
    <w:p>
      <w:pPr>
        <w:pStyle w:val="Heading1"/>
        <w:spacing w:after="120" w:line="252" w:lineRule="auto"/>
      </w:pPr>
      <w:r>
        <w:rPr>
          <w:rFonts w:ascii="Times New Roman" w:hAnsi="Times New Roman"/>
          <w:b w:val="0"/>
          <w:i w:val="0"/>
        </w:rPr>
        <w:t>Declaration of Competing Interest</w:t>
      </w:r>
    </w:p>
    <w:p>
      <w:pPr>
        <w:spacing w:after="120" w:line="252" w:lineRule="auto"/>
      </w:pPr>
      <w:r>
        <w:rPr>
          <w:rFonts w:ascii="Times New Roman" w:hAnsi="Times New Roman"/>
          <w:b w:val="0"/>
          <w:i w:val="0"/>
        </w:rPr>
        <w:t>The author declares no known competing financial interests or personal relationships that could have appeared to influence the work reported in this paper.</w:t>
      </w:r>
    </w:p>
    <w:p>
      <w:pPr>
        <w:pStyle w:val="Heading1"/>
        <w:spacing w:after="120" w:line="252" w:lineRule="auto"/>
      </w:pPr>
      <w:r>
        <w:rPr>
          <w:rFonts w:ascii="Times New Roman" w:hAnsi="Times New Roman"/>
          <w:b w:val="0"/>
          <w:i w:val="0"/>
        </w:rPr>
        <w:t>Funding</w:t>
      </w:r>
    </w:p>
    <w:p>
      <w:pPr>
        <w:spacing w:after="120" w:line="252" w:lineRule="auto"/>
      </w:pPr>
      <w:r>
        <w:rPr>
          <w:rFonts w:ascii="Times New Roman" w:hAnsi="Times New Roman"/>
          <w:b w:val="0"/>
          <w:i w:val="0"/>
        </w:rPr>
        <w:t>This research did not receive any specific grant from funding agencies in the public, commercial, or not-for-profit sectors.</w:t>
      </w:r>
    </w:p>
    <w:p>
      <w:pPr>
        <w:pStyle w:val="Heading1"/>
        <w:spacing w:after="120" w:line="252" w:lineRule="auto"/>
      </w:pPr>
      <w:r>
        <w:rPr>
          <w:rFonts w:ascii="Times New Roman" w:hAnsi="Times New Roman"/>
          <w:b w:val="0"/>
          <w:i w:val="0"/>
        </w:rPr>
        <w:t>Data and Code Availability</w:t>
      </w:r>
    </w:p>
    <w:p>
      <w:pPr>
        <w:spacing w:after="120" w:line="252" w:lineRule="auto"/>
      </w:pPr>
      <w:r>
        <w:rPr>
          <w:rFonts w:ascii="Times New Roman" w:hAnsi="Times New Roman"/>
          <w:b w:val="0"/>
          <w:i w:val="0"/>
        </w:rPr>
        <w:t>Code, example input and output 3MF files, palette-generation scripts, calibrated image-analysis scripts, benchmark data, and figure-generation workflows will be deposited in a public repository upon publication. An anonymized review archive can be provided during peer review.</w:t>
      </w:r>
    </w:p>
    <w:p>
      <w:pPr>
        <w:pStyle w:val="Heading1"/>
        <w:spacing w:after="120" w:line="252" w:lineRule="auto"/>
      </w:pPr>
      <w:r>
        <w:rPr>
          <w:rFonts w:ascii="Times New Roman" w:hAnsi="Times New Roman"/>
          <w:b w:val="0"/>
          <w:i w:val="0"/>
        </w:rPr>
        <w:t>Declaration of Generative AI and AI-assisted Technologies in the Manuscript Preparation Process</w:t>
      </w:r>
    </w:p>
    <w:p>
      <w:pPr>
        <w:spacing w:after="120" w:line="252" w:lineRule="auto"/>
      </w:pPr>
      <w:r>
        <w:rPr>
          <w:rFonts w:ascii="Times New Roman" w:hAnsi="Times New Roman"/>
          <w:b w:val="0"/>
          <w:i w:val="0"/>
        </w:rPr>
        <w:t>During the preparation of this work, the author used ChatGPT to assist with manuscript organization, language editing, LaTeX formatting, and revision planning. The author reviewed and edited the content for accuracy and clarity and takes full responsibility for the content of the published article.</w:t>
      </w:r>
    </w:p>
    <w:p>
      <w:pPr>
        <w:pStyle w:val="Heading1"/>
        <w:spacing w:after="120" w:line="252" w:lineRule="auto"/>
      </w:pPr>
      <w:r>
        <w:rPr>
          <w:rFonts w:ascii="Times New Roman" w:hAnsi="Times New Roman"/>
          <w:b w:val="0"/>
          <w:i w:val="0"/>
        </w:rPr>
        <w:t>References</w:t>
      </w:r>
    </w:p>
    <w:p>
      <w:pPr>
        <w:spacing w:after="60" w:line="252" w:lineRule="auto"/>
      </w:pPr>
      <w:r>
        <w:rPr>
          <w:rFonts w:ascii="Times New Roman" w:hAnsi="Times New Roman"/>
          <w:b w:val="0"/>
          <w:i w:val="0"/>
          <w:sz w:val="18"/>
        </w:rPr>
        <w:t>Hergel, J. and Lefebvre, S. (2014). Clean Color: Improving Multi-Filament 3D Prints. Computer Graphics Forum. https://doi.org/10.1111/cgf.12318</w:t>
      </w:r>
    </w:p>
    <w:p>
      <w:pPr>
        <w:spacing w:after="60" w:line="252" w:lineRule="auto"/>
      </w:pPr>
      <w:r>
        <w:rPr>
          <w:rFonts w:ascii="Times New Roman" w:hAnsi="Times New Roman"/>
          <w:b w:val="0"/>
          <w:i w:val="0"/>
          <w:sz w:val="18"/>
        </w:rPr>
        <w:t>Song, H. and Martinez, J. and Bedell, P. and Vennin, N. and Lefebvre, S. (2019). Colored Fused Filament Fabrication. arXiv:1709.09689. https://doi.org/10.48550/arXiv.1709.09689</w:t>
      </w:r>
    </w:p>
    <w:p>
      <w:pPr>
        <w:spacing w:after="60" w:line="252" w:lineRule="auto"/>
      </w:pPr>
      <w:r>
        <w:rPr>
          <w:rFonts w:ascii="Times New Roman" w:hAnsi="Times New Roman"/>
          <w:b w:val="0"/>
          <w:i w:val="0"/>
          <w:sz w:val="18"/>
        </w:rPr>
        <w:t>Li, Z. and Zhang, D. and Shao, L. and Han, S. (2019). Experimental Investigation Using Vibration Testing Method to Optimize Feed Parameters of Color Mixing Nozzle for Fused Deposition Modeling Color 3D Printer. Advances in Mechanical Engineering, 11(12), 1687814019896196. https://doi.org/10.1177/1687814019896196</w:t>
      </w:r>
    </w:p>
    <w:p>
      <w:pPr>
        <w:spacing w:after="60" w:line="252" w:lineRule="auto"/>
      </w:pPr>
      <w:r>
        <w:rPr>
          <w:rFonts w:ascii="Times New Roman" w:hAnsi="Times New Roman"/>
          <w:b w:val="0"/>
          <w:i w:val="0"/>
          <w:sz w:val="18"/>
        </w:rPr>
        <w:t>Ahn, S.-J. and Lee, H. and Cho, K.-J. (2024). 3D Printing with a 3D Printed Digital Material Filament for Programming Functional Gradients. Nature Communications, 15, 3605. https://doi.org/10.1038/s41467-024-47480-5</w:t>
      </w:r>
    </w:p>
    <w:p>
      <w:pPr>
        <w:spacing w:after="60" w:line="252" w:lineRule="auto"/>
      </w:pPr>
      <w:r>
        <w:rPr>
          <w:rFonts w:ascii="Times New Roman" w:hAnsi="Times New Roman"/>
          <w:b w:val="0"/>
          <w:i w:val="0"/>
          <w:sz w:val="18"/>
        </w:rPr>
        <w:t>Reiner, T. and Carr, N. and Mech, R. and St'ava, O. and others (2014). Dual-Color Mixing for Fused Deposition Modeling Printers. Computer Graphics Forum. https://doi.org/10.1111/cgf.12319</w:t>
      </w:r>
    </w:p>
    <w:p>
      <w:pPr>
        <w:spacing w:after="60" w:line="252" w:lineRule="auto"/>
      </w:pPr>
      <w:r>
        <w:rPr>
          <w:rFonts w:ascii="Times New Roman" w:hAnsi="Times New Roman"/>
          <w:b w:val="0"/>
          <w:i w:val="0"/>
          <w:sz w:val="18"/>
        </w:rPr>
        <w:t>Kuipers, T. and Elkhuizen, W. and Verlinden, J. and Doubrovski, E. (2018). Hatching for 3D Prints: Line-Based Halftoning for Dual Extrusion Fused Deposition Modeling. Computers &amp; Graphics, 74, 23–32. https://doi.org/10.1016/j.cag.2018.04.006</w:t>
      </w:r>
    </w:p>
    <w:p>
      <w:pPr>
        <w:spacing w:after="60" w:line="252" w:lineRule="auto"/>
      </w:pPr>
      <w:r>
        <w:rPr>
          <w:rFonts w:ascii="Times New Roman" w:hAnsi="Times New Roman"/>
          <w:b w:val="0"/>
          <w:i w:val="0"/>
          <w:sz w:val="18"/>
        </w:rPr>
        <w:t>Babaei, V. and Vidimce, K. and Foshey, M. and Kaspar, A. and Didyk, P. and Matusik, W. (2017). Color Contoning for 3D Printing. ACM Transactions on Graphics, 36(4), 124:1–124:15. https://doi.org/10.1145/3072959.3073605</w:t>
      </w:r>
    </w:p>
    <w:p>
      <w:pPr>
        <w:spacing w:after="60" w:line="252" w:lineRule="auto"/>
      </w:pPr>
      <w:r>
        <w:rPr>
          <w:rFonts w:ascii="Times New Roman" w:hAnsi="Times New Roman"/>
          <w:b w:val="0"/>
          <w:i w:val="0"/>
          <w:sz w:val="18"/>
        </w:rPr>
        <w:t>Brunton, A. and Arikan, C. A. and Urban, P. (2016). Pushing the Limits of 3D Color Printing: Error Diffusion with Translucent Materials. ACM Transactions on Graphics, 35(1), 4:1–4:13. https://doi.org/10.1145/2832905</w:t>
      </w:r>
    </w:p>
    <w:p>
      <w:pPr>
        <w:spacing w:after="60" w:line="252" w:lineRule="auto"/>
      </w:pPr>
      <w:r>
        <w:rPr>
          <w:rFonts w:ascii="Times New Roman" w:hAnsi="Times New Roman"/>
          <w:b w:val="0"/>
          <w:i w:val="0"/>
          <w:sz w:val="18"/>
        </w:rPr>
        <w:t>Dong, Y. and Wang, J. and Pellacini, F. and Tong, X. and Guo, B. (2010). Fabricating Spatially-Varying Subsurface Scattering. ACM Transactions on Graphics, 29(4), 62:1–62:10. https://doi.org/10.1145/1778765.1778799</w:t>
      </w:r>
    </w:p>
    <w:p>
      <w:pPr>
        <w:spacing w:after="60" w:line="252" w:lineRule="auto"/>
      </w:pPr>
      <w:r>
        <w:rPr>
          <w:rFonts w:ascii="Times New Roman" w:hAnsi="Times New Roman"/>
          <w:b w:val="0"/>
          <w:i w:val="0"/>
          <w:sz w:val="18"/>
        </w:rPr>
        <w:t>Hasan, M. and Fuchs, M. and Matusik, W. and Pfister, H. and Rusinkiewicz, S. (2010). Physical Reproduction of Materials with Specified Subsurface Scattering. ACM Transactions on Graphics, 29(4), 61:1–61:10. https://doi.org/10.1145/1778765.1778798</w:t>
      </w:r>
    </w:p>
    <w:p>
      <w:pPr>
        <w:spacing w:after="60" w:line="252" w:lineRule="auto"/>
      </w:pPr>
      <w:r>
        <w:rPr>
          <w:rFonts w:ascii="Times New Roman" w:hAnsi="Times New Roman"/>
          <w:b w:val="0"/>
          <w:i w:val="0"/>
          <w:sz w:val="18"/>
        </w:rPr>
        <w:t>Vidimce, K. and Wang, S.-P. and Ragan-Kelley, J. and Matusik, W. (2013). OpenFab: A Programmable Pipeline for Multi-Material Fabrication. ACM Transactions on Graphics, 32(4), 136:1–136:12. https://doi.org/10.1145/2461912.2461993</w:t>
      </w:r>
    </w:p>
    <w:p>
      <w:pPr>
        <w:spacing w:after="60" w:line="252" w:lineRule="auto"/>
      </w:pPr>
      <w:r>
        <w:rPr>
          <w:rFonts w:ascii="Times New Roman" w:hAnsi="Times New Roman"/>
          <w:b w:val="0"/>
          <w:i w:val="0"/>
          <w:sz w:val="18"/>
        </w:rPr>
        <w:t>Cho, W. and Sachs, E. M. and Patrikalakis, N. M. and Troxel, D. E. (2003). A Dithering Algorithm for Local Composition Control with Three-Dimensional Printing. Computer-Aided Design, 35(9), 851–867. https://doi.org/10.1016/S0010-4485(02)00122-7</w:t>
      </w:r>
    </w:p>
    <w:p>
      <w:pPr>
        <w:spacing w:after="60" w:line="252" w:lineRule="auto"/>
      </w:pPr>
      <w:r>
        <w:rPr>
          <w:rFonts w:ascii="Times New Roman" w:hAnsi="Times New Roman"/>
          <w:b w:val="0"/>
          <w:i w:val="0"/>
          <w:sz w:val="18"/>
        </w:rPr>
        <w:t>Willmott, J. D. and Bibb, R. J. and Johnson, A. A. and Paterson, A. M. (2023). Three-Dimension Dithering and Its Effect on the Interfacial Strength of Multi-Material and Emulated Multi-Material Additive Manufacturing Processes. Additive Manufacturing, 78, 103837. https://doi.org/10.1016/j.addma.2023.103837</w:t>
      </w:r>
    </w:p>
    <w:p>
      <w:pPr>
        <w:spacing w:after="60" w:line="252" w:lineRule="auto"/>
      </w:pPr>
      <w:r>
        <w:rPr>
          <w:rFonts w:ascii="Times New Roman" w:hAnsi="Times New Roman"/>
          <w:b w:val="0"/>
          <w:i w:val="0"/>
          <w:sz w:val="18"/>
        </w:rPr>
        <w:t>Morsy, M. M. A. and Brunton, A. and Urban, P. (2022). Shape Dithering for 3D Printing. ACM Transactions on Graphics, 41(4), 82:1–82:12. https://doi.org/10.1145/3528223.3530129</w:t>
      </w:r>
    </w:p>
    <w:p>
      <w:pPr>
        <w:spacing w:after="60" w:line="252" w:lineRule="auto"/>
      </w:pPr>
      <w:r>
        <w:rPr>
          <w:rFonts w:ascii="Times New Roman" w:hAnsi="Times New Roman"/>
          <w:b w:val="0"/>
          <w:i w:val="0"/>
          <w:sz w:val="18"/>
        </w:rPr>
        <w:t>3MF Consortium (2021). 3MF Core Specification and Reference Guide. https://3mf.io/spec/</w:t>
      </w:r>
    </w:p>
    <w:p>
      <w:pPr>
        <w:spacing w:after="60" w:line="252" w:lineRule="auto"/>
      </w:pPr>
      <w:r>
        <w:rPr>
          <w:rFonts w:ascii="Times New Roman" w:hAnsi="Times New Roman"/>
          <w:b w:val="0"/>
          <w:i w:val="0"/>
          <w:sz w:val="18"/>
        </w:rPr>
        <w:t>Dawson-Haggerty et al. (2019). trimesh. https://trimesh.org/</w:t>
      </w:r>
    </w:p>
    <w:p>
      <w:pPr>
        <w:spacing w:after="60" w:line="252" w:lineRule="auto"/>
      </w:pPr>
      <w:r>
        <w:rPr>
          <w:rFonts w:ascii="Times New Roman" w:hAnsi="Times New Roman"/>
          <w:b w:val="0"/>
          <w:i w:val="0"/>
          <w:sz w:val="18"/>
        </w:rPr>
        <w:t>Sullivan, C. Bane and Kaszynski, Alexander (2019). PyVista: 3D plotting and mesh analysis through a streamlined interface for the Visualization Toolkit (VTK). Journal of Open Source Software, 4(37), 1450. https://doi.org/10.21105/joss.01450</w:t>
      </w:r>
    </w:p>
    <w:p>
      <w:pPr>
        <w:spacing w:after="60" w:line="252" w:lineRule="auto"/>
      </w:pPr>
      <w:r>
        <w:rPr>
          <w:rFonts w:ascii="Times New Roman" w:hAnsi="Times New Roman"/>
          <w:b w:val="0"/>
          <w:i w:val="0"/>
          <w:sz w:val="18"/>
        </w:rPr>
        <w:t>Schroeder, Will and Martin, Ken and Lorensen, Bill (2006). The Visualization Toolkit.</w:t>
      </w:r>
    </w:p>
    <w:p>
      <w:pPr>
        <w:spacing w:after="60" w:line="252" w:lineRule="auto"/>
      </w:pPr>
      <w:r>
        <w:rPr>
          <w:rFonts w:ascii="Times New Roman" w:hAnsi="Times New Roman"/>
          <w:b w:val="0"/>
          <w:i w:val="0"/>
          <w:sz w:val="18"/>
        </w:rPr>
        <w:t>Creative Tools (2015). #3DBenchy: The Jolly 3D Printing Torture-Test. 3D model, Thingiverse. https://www.thingiverse.com/thing:763622</w:t>
      </w:r>
    </w:p>
    <w:p>
      <w:pPr>
        <w:spacing w:after="60" w:line="252" w:lineRule="auto"/>
      </w:pPr>
      <w:r>
        <w:rPr>
          <w:rFonts w:ascii="Times New Roman" w:hAnsi="Times New Roman"/>
          <w:b w:val="0"/>
          <w:i w:val="0"/>
          <w:sz w:val="18"/>
        </w:rPr>
        <w:t>Meng, Elaine C. and Goddard, Thomas D. and Pettersen, Eric F. and Couch, Greg S. and Pearson, Zach J. and Morris, John H. and Ferrin, Thomas E. (2023). UCSF ChimeraX: Tools for Structure Building and Analysis. Protein Science, 32(11), e4792. https://doi.org/10.1002/pro.4792</w:t>
      </w:r>
    </w:p>
    <w:p>
      <w:pPr>
        <w:spacing w:after="60" w:line="252" w:lineRule="auto"/>
      </w:pPr>
      <w:r>
        <w:rPr>
          <w:rFonts w:ascii="Times New Roman" w:hAnsi="Times New Roman"/>
          <w:b w:val="0"/>
          <w:i w:val="0"/>
          <w:sz w:val="18"/>
        </w:rPr>
        <w:t>Fheder (2024). Feet Anatomy (High Resolution) FOR FREE? IN THIS ECONOMY?. Printables model 1081441. https://www.printables.com/model/1081441-feet-anatomy-high-resolution-for-free-in-this-econ</w:t>
      </w:r>
    </w:p>
    <w:p>
      <w:pPr>
        <w:spacing w:after="60" w:line="252" w:lineRule="auto"/>
      </w:pPr>
      <w:r>
        <w:rPr>
          <w:rFonts w:ascii="Times New Roman" w:hAnsi="Times New Roman"/>
          <w:b w:val="0"/>
          <w:i w:val="0"/>
          <w:sz w:val="18"/>
        </w:rPr>
        <w:t>International Electrotechnical Commission (1999). Multimedia systems and equipment – Colour measurement and management – Part 2-1: Colour management – Default RGB colour space – sRGB.</w:t>
      </w:r>
    </w:p>
    <w:p>
      <w:pPr>
        <w:spacing w:after="60" w:line="252" w:lineRule="auto"/>
      </w:pPr>
      <w:r>
        <w:rPr>
          <w:rFonts w:ascii="Times New Roman" w:hAnsi="Times New Roman"/>
          <w:b w:val="0"/>
          <w:i w:val="0"/>
          <w:sz w:val="18"/>
        </w:rPr>
        <w:t>International Commission on Illumination (2019). Colorimetry – Part 4: CIE 1976 L*a*b* colour space. https://cie.co.at/publications/colorimetry-part-4-cie-1976-lab-colour-space-1</w:t>
      </w:r>
    </w:p>
    <w:p>
      <w:pPr>
        <w:spacing w:after="60" w:line="252" w:lineRule="auto"/>
      </w:pPr>
      <w:r>
        <w:rPr>
          <w:rFonts w:ascii="Times New Roman" w:hAnsi="Times New Roman"/>
          <w:b w:val="0"/>
          <w:i w:val="0"/>
          <w:sz w:val="18"/>
        </w:rPr>
        <w:t>International Commission on Illumination (2022). Colorimetry – Part 6: CIEDE2000 colour-difference formula. https://cie.co.at/publications/colorimetry-part-6-ciede2000-colour-difference-formula</w:t>
      </w:r>
    </w:p>
    <w:p>
      <w:pPr>
        <w:spacing w:after="60" w:line="252" w:lineRule="auto"/>
      </w:pPr>
      <w:r>
        <w:rPr>
          <w:rFonts w:ascii="Times New Roman" w:hAnsi="Times New Roman"/>
          <w:b w:val="0"/>
          <w:i w:val="0"/>
          <w:sz w:val="18"/>
        </w:rPr>
        <w:t>Luo, M. R. and Cui, G. and Rigg, B. (2001). The development of the CIE 2000 colour-difference formula: CIEDE2000. Color Research &amp; Application, 26(5), 340–350. https://doi.org/10.1002/col.1049</w:t>
      </w:r>
    </w:p>
    <w:p>
      <w:pPr>
        <w:spacing w:after="60" w:line="252" w:lineRule="auto"/>
      </w:pPr>
      <w:r>
        <w:rPr>
          <w:rFonts w:ascii="Times New Roman" w:hAnsi="Times New Roman"/>
          <w:b w:val="0"/>
          <w:i w:val="0"/>
          <w:sz w:val="18"/>
        </w:rPr>
        <w:t>Sharma, Gaurav and Wu, Wencheng and Dalal, Edul N. (2005). The CIEDE2000 color-difference formula: Implementation notes, supplementary test data, and mathematical observations. Color Research &amp; Application, 30(1), 21–30. https://doi.org/10.1002/col.20070</w:t>
      </w:r>
    </w:p>
    <w:p>
      <w:pPr>
        <w:spacing w:after="60" w:line="252" w:lineRule="auto"/>
      </w:pPr>
      <w:r>
        <w:rPr>
          <w:rFonts w:ascii="Times New Roman" w:hAnsi="Times New Roman"/>
          <w:b w:val="0"/>
          <w:i w:val="0"/>
          <w:sz w:val="18"/>
        </w:rPr>
        <w:t>Harris, Charles R. and Millman, K. Jarrod and van der Walt, St'efan J. and others (2020). Array programming with NumPy. Nature, 585, 357–362. https://doi.org/10.1038/s41586-020-2649-2</w:t>
      </w:r>
    </w:p>
    <w:p>
      <w:pPr>
        <w:spacing w:after="60" w:line="252" w:lineRule="auto"/>
      </w:pPr>
      <w:r>
        <w:rPr>
          <w:rFonts w:ascii="Times New Roman" w:hAnsi="Times New Roman"/>
          <w:b w:val="0"/>
          <w:i w:val="0"/>
          <w:sz w:val="18"/>
        </w:rPr>
        <w:t>McKinney, Wes (2010). Data structures for statistical computing in Python. Proceedings of the 9th Python in Science Conference, 56–61. https://doi.org/10.25080/Majora-92bf1922-00a</w:t>
      </w:r>
    </w:p>
    <w:p>
      <w:pPr>
        <w:spacing w:after="60" w:line="252" w:lineRule="auto"/>
      </w:pPr>
      <w:r>
        <w:rPr>
          <w:rFonts w:ascii="Times New Roman" w:hAnsi="Times New Roman"/>
          <w:b w:val="0"/>
          <w:i w:val="0"/>
          <w:sz w:val="18"/>
        </w:rPr>
        <w:t>Hunter, John D. (2007). Matplotlib: A 2D graphics environment. Computing in Science &amp; Engineering, 9(3), 90–95. https://doi.org/10.1109/MCSE.2007.55</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Manuscript Without Author Details</dc:title>
  <dc:subject/>
  <dc:creator/>
  <cp:keywords/>
  <dc:description/>
  <cp:lastModifiedBy/>
  <cp:revision>1</cp:revision>
  <dcterms:created xsi:type="dcterms:W3CDTF">2013-12-23T23:15:00Z</dcterms:created>
  <dcterms:modified xsi:type="dcterms:W3CDTF">2013-12-23T23:15:00Z</dcterms:modified>
  <cp:category/>
</cp:coreProperties>
</file>