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line="252" w:lineRule="auto"/>
        <w:jc w:val="center"/>
      </w:pPr>
      <w:r>
        <w:rPr>
          <w:rFonts w:ascii="Times New Roman" w:hAnsi="Times New Roman"/>
          <w:b w:val="0"/>
          <w:i w:val="0"/>
        </w:rPr>
        <w:t>Declaration of Competing Interest</w:t>
      </w:r>
    </w:p>
    <w:p>
      <w:pPr>
        <w:spacing w:after="240" w:line="252" w:lineRule="auto"/>
      </w:pPr>
      <w:r>
        <w:rPr>
          <w:rFonts w:ascii="Times New Roman" w:hAnsi="Times New Roman"/>
          <w:b/>
          <w:i w:val="0"/>
        </w:rPr>
        <w:t>Manuscript title: Existing Multi-Material FFF Printers Are Sufficient For (Near) Arbitrary Coloration</w:t>
      </w:r>
    </w:p>
    <w:p>
      <w:pPr>
        <w:spacing w:after="120" w:line="252" w:lineRule="auto"/>
      </w:pPr>
      <w:r>
        <w:rPr>
          <w:rFonts w:ascii="Times New Roman" w:hAnsi="Times New Roman"/>
          <w:b w:val="0"/>
          <w:i w:val="0"/>
        </w:rPr>
        <w:t>The author declares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