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0CA" w:rsidRPr="00AC64AF" w:rsidRDefault="009E0F92" w:rsidP="00AC64AF">
      <w:pPr>
        <w:pStyle w:val="Heading1"/>
        <w:rPr>
          <w:b/>
          <w:color w:val="1E645F"/>
        </w:rPr>
      </w:pPr>
      <w:r>
        <w:rPr>
          <w:b/>
          <w:color w:val="1E645F"/>
        </w:rPr>
        <w:t>6</w:t>
      </w:r>
      <w:r w:rsidR="009D0F63" w:rsidRPr="003C3815">
        <w:rPr>
          <w:b/>
          <w:color w:val="1E645F"/>
        </w:rPr>
        <w:t>.</w:t>
      </w:r>
      <w:r w:rsidR="0025103C">
        <w:rPr>
          <w:b/>
          <w:color w:val="1E645F"/>
        </w:rPr>
        <w:t>2</w:t>
      </w:r>
      <w:r w:rsidR="009D0F63" w:rsidRPr="003C3815">
        <w:rPr>
          <w:b/>
          <w:color w:val="1E645F"/>
        </w:rPr>
        <w:t xml:space="preserve"> </w:t>
      </w:r>
      <w:r w:rsidR="0025103C">
        <w:rPr>
          <w:b/>
          <w:color w:val="1E645F"/>
        </w:rPr>
        <w:t>Pallet Analysis</w:t>
      </w:r>
    </w:p>
    <w:p w:rsidR="009875BC" w:rsidRDefault="009E0F92" w:rsidP="009875BC">
      <w:pPr>
        <w:pStyle w:val="Heading2"/>
        <w:rPr>
          <w:color w:val="1E645F"/>
        </w:rPr>
      </w:pPr>
      <w:r>
        <w:rPr>
          <w:color w:val="1E645F"/>
        </w:rPr>
        <w:t>6</w:t>
      </w:r>
      <w:r w:rsidR="006E3E58">
        <w:rPr>
          <w:color w:val="1E645F"/>
        </w:rPr>
        <w:t>.2</w:t>
      </w:r>
      <w:r w:rsidR="00463E74">
        <w:rPr>
          <w:color w:val="1E645F"/>
        </w:rPr>
        <w:t>.</w:t>
      </w:r>
      <w:r w:rsidR="00AC64AF">
        <w:rPr>
          <w:color w:val="1E645F"/>
        </w:rPr>
        <w:t>1</w:t>
      </w:r>
      <w:r w:rsidR="009D0F63" w:rsidRPr="003C3815">
        <w:rPr>
          <w:color w:val="1E645F"/>
        </w:rPr>
        <w:t xml:space="preserve"> </w:t>
      </w:r>
      <w:r w:rsidR="006E3E58">
        <w:rPr>
          <w:color w:val="1E645F"/>
        </w:rPr>
        <w:t xml:space="preserve">Pallet </w:t>
      </w:r>
      <w:r w:rsidR="009875BC">
        <w:rPr>
          <w:color w:val="1E645F"/>
        </w:rPr>
        <w:t>Design</w:t>
      </w:r>
    </w:p>
    <w:p w:rsidR="009875BC" w:rsidRDefault="009A05FE" w:rsidP="009875BC">
      <w:r>
        <w:t xml:space="preserve">The most spatially efficient pallet orientation allows for 33 books per pallet. (See </w:t>
      </w:r>
      <w:r w:rsidRPr="009A05FE">
        <w:rPr>
          <w:highlight w:val="yellow"/>
        </w:rPr>
        <w:t>Appendix XX</w:t>
      </w:r>
      <w:r>
        <w:t xml:space="preserve">). This setup allows for 96% utilisation of the available pallet surface area. </w:t>
      </w:r>
      <w:r w:rsidR="00261411">
        <w:t xml:space="preserve">Appendix XX outlines the capacity of both pallet types. Plastic pallets </w:t>
      </w:r>
      <w:proofErr w:type="gramStart"/>
      <w:r w:rsidR="00261411">
        <w:t>are capable of holding</w:t>
      </w:r>
      <w:proofErr w:type="gramEnd"/>
      <w:r w:rsidR="00261411">
        <w:t xml:space="preserve"> 2574 books, while wooden pallets can hold 1914</w:t>
      </w:r>
      <w:r w:rsidR="00A65931">
        <w:t xml:space="preserve"> books</w:t>
      </w:r>
      <w:r w:rsidR="00261411">
        <w:t xml:space="preserve">. </w:t>
      </w:r>
    </w:p>
    <w:p w:rsidR="009A05FE" w:rsidRPr="009875BC" w:rsidRDefault="00261411" w:rsidP="009875BC">
      <w:r w:rsidRPr="00261411">
        <w:rPr>
          <w:noProof/>
        </w:rPr>
        <w:drawing>
          <wp:inline distT="0" distB="0" distL="0" distR="0">
            <wp:extent cx="5046980" cy="962025"/>
            <wp:effectExtent l="0" t="0" r="12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5BC" w:rsidRDefault="003A1CC1" w:rsidP="009875BC">
      <w:r>
        <w:rPr>
          <w:noProof/>
        </w:rPr>
        <w:drawing>
          <wp:anchor distT="0" distB="0" distL="114300" distR="114300" simplePos="0" relativeHeight="251669504" behindDoc="0" locked="0" layoutInCell="1" allowOverlap="1" wp14:anchorId="7C94BE3E" wp14:editId="49539E8B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4229100" cy="3867150"/>
            <wp:effectExtent l="0" t="0" r="0" b="0"/>
            <wp:wrapTight wrapText="bothSides">
              <wp:wrapPolygon edited="0">
                <wp:start x="0" y="0"/>
                <wp:lineTo x="0" y="21494"/>
                <wp:lineTo x="21503" y="21494"/>
                <wp:lineTo x="2150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5BC" w:rsidRPr="000E2309" w:rsidRDefault="009875BC" w:rsidP="009875BC"/>
    <w:p w:rsidR="003A1CC1" w:rsidRDefault="003A1CC1" w:rsidP="00974700">
      <w:pPr>
        <w:pStyle w:val="Heading2"/>
        <w:rPr>
          <w:color w:val="1E645F"/>
        </w:rPr>
      </w:pPr>
    </w:p>
    <w:p w:rsidR="003A1CC1" w:rsidRDefault="003A1CC1" w:rsidP="00974700">
      <w:pPr>
        <w:pStyle w:val="Heading2"/>
        <w:rPr>
          <w:color w:val="1E645F"/>
        </w:rPr>
      </w:pPr>
    </w:p>
    <w:p w:rsidR="003A1CC1" w:rsidRDefault="003A1CC1" w:rsidP="00974700">
      <w:pPr>
        <w:pStyle w:val="Heading2"/>
        <w:rPr>
          <w:color w:val="1E645F"/>
        </w:rPr>
      </w:pPr>
    </w:p>
    <w:p w:rsidR="003A1CC1" w:rsidRDefault="003A1CC1" w:rsidP="00974700">
      <w:pPr>
        <w:pStyle w:val="Heading2"/>
        <w:rPr>
          <w:color w:val="1E645F"/>
        </w:rPr>
      </w:pPr>
    </w:p>
    <w:p w:rsidR="003A1CC1" w:rsidRDefault="003A1CC1" w:rsidP="00974700">
      <w:pPr>
        <w:pStyle w:val="Heading2"/>
        <w:rPr>
          <w:color w:val="1E645F"/>
        </w:rPr>
      </w:pPr>
    </w:p>
    <w:p w:rsidR="003A1CC1" w:rsidRDefault="003A1CC1" w:rsidP="00974700">
      <w:pPr>
        <w:pStyle w:val="Heading2"/>
        <w:rPr>
          <w:color w:val="1E645F"/>
        </w:rPr>
      </w:pPr>
    </w:p>
    <w:p w:rsidR="003A1CC1" w:rsidRDefault="003A1CC1" w:rsidP="00974700">
      <w:pPr>
        <w:pStyle w:val="Heading2"/>
        <w:rPr>
          <w:color w:val="1E645F"/>
        </w:rPr>
      </w:pPr>
    </w:p>
    <w:p w:rsidR="003A1CC1" w:rsidRDefault="003A1CC1" w:rsidP="00974700">
      <w:pPr>
        <w:pStyle w:val="Heading2"/>
        <w:rPr>
          <w:color w:val="1E645F"/>
        </w:rPr>
      </w:pPr>
    </w:p>
    <w:p w:rsidR="003A1CC1" w:rsidRDefault="003A1CC1" w:rsidP="00974700">
      <w:pPr>
        <w:pStyle w:val="Heading2"/>
        <w:rPr>
          <w:color w:val="1E645F"/>
        </w:rPr>
      </w:pPr>
    </w:p>
    <w:p w:rsidR="003A1CC1" w:rsidRDefault="003A1CC1" w:rsidP="00974700">
      <w:pPr>
        <w:pStyle w:val="Heading2"/>
        <w:rPr>
          <w:color w:val="1E645F"/>
        </w:rPr>
      </w:pPr>
    </w:p>
    <w:p w:rsidR="003A1CC1" w:rsidRDefault="003A1CC1" w:rsidP="00974700">
      <w:pPr>
        <w:pStyle w:val="Heading2"/>
        <w:rPr>
          <w:color w:val="1E645F"/>
        </w:rPr>
      </w:pPr>
    </w:p>
    <w:p w:rsidR="003A1CC1" w:rsidRDefault="003A1CC1" w:rsidP="00974700">
      <w:pPr>
        <w:pStyle w:val="Heading2"/>
        <w:rPr>
          <w:color w:val="1E645F"/>
        </w:rPr>
      </w:pPr>
    </w:p>
    <w:p w:rsidR="003A1CC1" w:rsidRDefault="003A1CC1" w:rsidP="00974700">
      <w:pPr>
        <w:pStyle w:val="Heading2"/>
        <w:rPr>
          <w:color w:val="1E645F"/>
        </w:rPr>
      </w:pPr>
    </w:p>
    <w:p w:rsidR="003A1CC1" w:rsidRDefault="003A1CC1" w:rsidP="00974700">
      <w:pPr>
        <w:pStyle w:val="Heading2"/>
        <w:rPr>
          <w:color w:val="1E645F"/>
        </w:rPr>
      </w:pPr>
    </w:p>
    <w:p w:rsidR="003A1CC1" w:rsidRDefault="003A1CC1" w:rsidP="00974700">
      <w:pPr>
        <w:pStyle w:val="Heading2"/>
        <w:rPr>
          <w:color w:val="1E645F"/>
        </w:rPr>
      </w:pPr>
    </w:p>
    <w:p w:rsidR="003A1CC1" w:rsidRDefault="003A1CC1" w:rsidP="00974700">
      <w:pPr>
        <w:pStyle w:val="Heading2"/>
        <w:rPr>
          <w:color w:val="1E645F"/>
        </w:rPr>
      </w:pPr>
    </w:p>
    <w:p w:rsidR="00974700" w:rsidRPr="003C3815" w:rsidRDefault="009E0F92" w:rsidP="00974700">
      <w:pPr>
        <w:pStyle w:val="Heading2"/>
        <w:rPr>
          <w:color w:val="1E645F"/>
        </w:rPr>
      </w:pPr>
      <w:bookmarkStart w:id="0" w:name="_GoBack"/>
      <w:bookmarkEnd w:id="0"/>
      <w:r>
        <w:rPr>
          <w:color w:val="1E645F"/>
        </w:rPr>
        <w:t>6</w:t>
      </w:r>
      <w:r w:rsidR="003C3815" w:rsidRPr="003C3815">
        <w:rPr>
          <w:color w:val="1E645F"/>
        </w:rPr>
        <w:t>.</w:t>
      </w:r>
      <w:r w:rsidR="0058757B">
        <w:rPr>
          <w:color w:val="1E645F"/>
        </w:rPr>
        <w:t>2.2</w:t>
      </w:r>
      <w:r w:rsidR="009D0F63" w:rsidRPr="003C3815">
        <w:rPr>
          <w:color w:val="1E645F"/>
        </w:rPr>
        <w:t xml:space="preserve"> </w:t>
      </w:r>
      <w:r w:rsidR="0058757B">
        <w:rPr>
          <w:color w:val="1E645F"/>
        </w:rPr>
        <w:t>Racking</w:t>
      </w:r>
    </w:p>
    <w:p w:rsidR="0084744C" w:rsidRDefault="001E24E7" w:rsidP="00BB54C6">
      <w:r>
        <w:t>PPL</w:t>
      </w:r>
      <w:r w:rsidR="00AB04BC">
        <w:t xml:space="preserve"> must be </w:t>
      </w:r>
      <w:r>
        <w:t xml:space="preserve">prepared for the maximum quarterly output </w:t>
      </w:r>
      <w:r w:rsidR="000925D2">
        <w:t>of each language over the course of the contract. T</w:t>
      </w:r>
      <w:r w:rsidR="00AB04BC">
        <w:t>herefore, a</w:t>
      </w:r>
      <w:r w:rsidR="0058757B">
        <w:t xml:space="preserve">s outlined in </w:t>
      </w:r>
      <w:r w:rsidR="0058757B" w:rsidRPr="0058757B">
        <w:rPr>
          <w:highlight w:val="yellow"/>
        </w:rPr>
        <w:t>Section XX Warehouse</w:t>
      </w:r>
      <w:r w:rsidR="0058757B">
        <w:t xml:space="preserve">, our team has </w:t>
      </w:r>
      <w:r w:rsidR="003B2C74">
        <w:t xml:space="preserve">allowed for </w:t>
      </w:r>
      <w:r w:rsidR="000925D2">
        <w:t>this scenario</w:t>
      </w:r>
      <w:r w:rsidR="00E65E25">
        <w:t xml:space="preserve">. </w:t>
      </w:r>
      <w:r w:rsidR="0009707A">
        <w:t xml:space="preserve">While this </w:t>
      </w:r>
      <w:r w:rsidR="000925D2">
        <w:t>event</w:t>
      </w:r>
      <w:r w:rsidR="0009707A">
        <w:t xml:space="preserve"> is unlikely, it is deemed necessary to ensure that Power Printing Ltd can handle this level of demand. </w:t>
      </w:r>
      <w:r w:rsidR="00E65E25">
        <w:t xml:space="preserve">This </w:t>
      </w:r>
      <w:r w:rsidR="0084744C">
        <w:t xml:space="preserve">amounts to </w:t>
      </w:r>
      <w:r w:rsidR="00490C82">
        <w:t>627,750 for a three-</w:t>
      </w:r>
      <w:r w:rsidR="000925D2">
        <w:t>year contract</w:t>
      </w:r>
      <w:r w:rsidR="0084744C">
        <w:t xml:space="preserve"> and 780</w:t>
      </w:r>
      <w:r w:rsidR="00AB04BC">
        <w:t>,</w:t>
      </w:r>
      <w:r w:rsidR="0084744C">
        <w:t>750 ove</w:t>
      </w:r>
      <w:r w:rsidR="00490C82">
        <w:t>r the total six</w:t>
      </w:r>
      <w:r w:rsidR="0009707A">
        <w:t>-year projections.</w:t>
      </w:r>
    </w:p>
    <w:p w:rsidR="0050100E" w:rsidRDefault="0009707A" w:rsidP="00BB54C6">
      <w:r>
        <w:t xml:space="preserve">Allowing for 300 </w:t>
      </w:r>
      <w:r w:rsidR="0050100E">
        <w:t>distinct titles, the table</w:t>
      </w:r>
      <w:r w:rsidR="000925D2">
        <w:t>s</w:t>
      </w:r>
      <w:r w:rsidR="0050100E">
        <w:t xml:space="preserve"> below </w:t>
      </w:r>
      <w:r w:rsidR="0050100E" w:rsidRPr="0050100E">
        <w:rPr>
          <w:highlight w:val="yellow"/>
        </w:rPr>
        <w:t>(Figure XX)</w:t>
      </w:r>
      <w:r w:rsidR="0050100E">
        <w:t xml:space="preserve"> outlines the number of pallets required to accommodate for the 4/6 languages Pulp intend to target.</w:t>
      </w:r>
      <w:r w:rsidR="00490C82">
        <w:t xml:space="preserve"> Three-year projections require 120 pallets monthly regardless of type. However</w:t>
      </w:r>
      <w:r w:rsidR="00E26E44">
        <w:t>,</w:t>
      </w:r>
      <w:r w:rsidR="00490C82">
        <w:t xml:space="preserve"> six-year projections require either 192 wooden pallets </w:t>
      </w:r>
      <w:r w:rsidR="00490C82">
        <w:lastRenderedPageBreak/>
        <w:t>or 168 plastic pallets. The differe</w:t>
      </w:r>
      <w:r w:rsidR="00E26E44">
        <w:t>nce in these figures arises from the greater capacity of the plastic pallets.</w:t>
      </w:r>
      <w:r w:rsidR="00106317">
        <w:t xml:space="preserve"> </w:t>
      </w:r>
      <w:r w:rsidR="00F44F96">
        <w:t xml:space="preserve">These figures are calculated on an extreme, worst-case basis whereby books are collected </w:t>
      </w:r>
      <w:r w:rsidR="002300D6">
        <w:t>monthly by Pulp Novels. A greater collection frequency would reduce the number of pallets required significantly.</w:t>
      </w:r>
    </w:p>
    <w:p w:rsidR="00AC64AF" w:rsidRDefault="003A1CC1" w:rsidP="00BB54C6">
      <w:r>
        <w:rPr>
          <w:noProof/>
        </w:rPr>
        <w:drawing>
          <wp:anchor distT="0" distB="0" distL="114300" distR="114300" simplePos="0" relativeHeight="251661312" behindDoc="0" locked="0" layoutInCell="1" allowOverlap="1" wp14:anchorId="6216FDD3" wp14:editId="5F828BD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1662430"/>
            <wp:effectExtent l="0" t="0" r="2540" b="0"/>
            <wp:wrapTight wrapText="bothSides">
              <wp:wrapPolygon edited="0">
                <wp:start x="0" y="0"/>
                <wp:lineTo x="0" y="21286"/>
                <wp:lineTo x="21538" y="2128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07A" w:rsidRDefault="003A1CC1" w:rsidP="00BB54C6">
      <w:r>
        <w:rPr>
          <w:noProof/>
        </w:rPr>
        <w:drawing>
          <wp:anchor distT="0" distB="0" distL="114300" distR="114300" simplePos="0" relativeHeight="251663360" behindDoc="0" locked="0" layoutInCell="1" allowOverlap="1" wp14:anchorId="61724AC1" wp14:editId="2DBF6E8A">
            <wp:simplePos x="0" y="0"/>
            <wp:positionH relativeFrom="margin">
              <wp:align>right</wp:align>
            </wp:positionH>
            <wp:positionV relativeFrom="paragraph">
              <wp:posOffset>1955206</wp:posOffset>
            </wp:positionV>
            <wp:extent cx="5731510" cy="1308100"/>
            <wp:effectExtent l="0" t="0" r="2540" b="6350"/>
            <wp:wrapTight wrapText="bothSides">
              <wp:wrapPolygon edited="0">
                <wp:start x="0" y="0"/>
                <wp:lineTo x="0" y="21390"/>
                <wp:lineTo x="21538" y="2139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54C6" w:rsidRDefault="0058757B" w:rsidP="00BB54C6">
      <w:r>
        <w:t xml:space="preserve"> </w:t>
      </w:r>
    </w:p>
    <w:p w:rsidR="00E26E44" w:rsidRDefault="00E26E44" w:rsidP="00BB54C6"/>
    <w:p w:rsidR="00F44F96" w:rsidRDefault="00F44F96" w:rsidP="00106317">
      <w:pPr>
        <w:pStyle w:val="Heading2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 xml:space="preserve">Appendix XX outlines the number of pallets the warehouse can accommodate. This is largely dependent on the gap between pallets. It is evident that a gap of 0.5m between pallets would be adequate for both pallet type should a three-year contract be accepted. PPL would be required to reduce this distance should the contract be increased to six years. </w:t>
      </w:r>
    </w:p>
    <w:p w:rsidR="00F44F96" w:rsidRDefault="00F44F96" w:rsidP="00F44F96"/>
    <w:p w:rsidR="00F44F96" w:rsidRPr="00F44F96" w:rsidRDefault="003A1CC1" w:rsidP="00F44F96">
      <w:r>
        <w:rPr>
          <w:noProof/>
        </w:rPr>
        <w:drawing>
          <wp:anchor distT="0" distB="0" distL="114300" distR="114300" simplePos="0" relativeHeight="251665408" behindDoc="0" locked="0" layoutInCell="1" allowOverlap="1" wp14:anchorId="1E3E48AC" wp14:editId="04B0CE07">
            <wp:simplePos x="0" y="0"/>
            <wp:positionH relativeFrom="margin">
              <wp:align>left</wp:align>
            </wp:positionH>
            <wp:positionV relativeFrom="paragraph">
              <wp:posOffset>11347</wp:posOffset>
            </wp:positionV>
            <wp:extent cx="334327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38" y="21246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F96" w:rsidRDefault="00F44F96" w:rsidP="00106317">
      <w:pPr>
        <w:pStyle w:val="Heading2"/>
        <w:rPr>
          <w:color w:val="1E645F"/>
        </w:rPr>
      </w:pPr>
    </w:p>
    <w:p w:rsidR="00F44F96" w:rsidRDefault="00F44F96" w:rsidP="00106317">
      <w:pPr>
        <w:pStyle w:val="Heading2"/>
        <w:rPr>
          <w:color w:val="1E645F"/>
        </w:rPr>
      </w:pPr>
    </w:p>
    <w:p w:rsidR="003A1CC1" w:rsidRDefault="003A1CC1" w:rsidP="00106317">
      <w:pPr>
        <w:pStyle w:val="Heading2"/>
        <w:rPr>
          <w:color w:val="1E645F"/>
        </w:rPr>
      </w:pPr>
    </w:p>
    <w:p w:rsidR="003A1CC1" w:rsidRDefault="003A1CC1" w:rsidP="00106317">
      <w:pPr>
        <w:pStyle w:val="Heading2"/>
        <w:rPr>
          <w:color w:val="1E645F"/>
        </w:rPr>
      </w:pPr>
    </w:p>
    <w:p w:rsidR="003A1CC1" w:rsidRDefault="003A1CC1" w:rsidP="00106317">
      <w:pPr>
        <w:pStyle w:val="Heading2"/>
        <w:rPr>
          <w:color w:val="1E645F"/>
        </w:rPr>
      </w:pPr>
    </w:p>
    <w:p w:rsidR="00106317" w:rsidRDefault="00106317" w:rsidP="00106317">
      <w:pPr>
        <w:pStyle w:val="Heading2"/>
        <w:rPr>
          <w:color w:val="1E645F"/>
        </w:rPr>
      </w:pPr>
      <w:r>
        <w:rPr>
          <w:color w:val="1E645F"/>
        </w:rPr>
        <w:t>6</w:t>
      </w:r>
      <w:r w:rsidRPr="003C3815">
        <w:rPr>
          <w:color w:val="1E645F"/>
        </w:rPr>
        <w:t>.</w:t>
      </w:r>
      <w:r>
        <w:rPr>
          <w:color w:val="1E645F"/>
        </w:rPr>
        <w:t>2.2</w:t>
      </w:r>
      <w:r w:rsidRPr="003C3815">
        <w:rPr>
          <w:color w:val="1E645F"/>
        </w:rPr>
        <w:t xml:space="preserve"> </w:t>
      </w:r>
      <w:r w:rsidR="00F44F96">
        <w:rPr>
          <w:color w:val="1E645F"/>
        </w:rPr>
        <w:t>Financial Analysis</w:t>
      </w:r>
    </w:p>
    <w:p w:rsidR="00F44F96" w:rsidRDefault="00023293" w:rsidP="00F44F96">
      <w:r>
        <w:t>Appendix XX outlines the costs associated with stocking the warehouse with pallets. This analysis allows for full restocking of pallets following collection by Pulp Novels. The 18-month lifespan of wooden pallets greatly increases the number of pallets required.</w:t>
      </w:r>
    </w:p>
    <w:p w:rsidR="00023293" w:rsidRDefault="00023293" w:rsidP="00F44F96">
      <w:r>
        <w:t xml:space="preserve">Although the cost </w:t>
      </w:r>
      <w:r w:rsidR="006150C8">
        <w:t>of plastic pallets is greater than the cost of wooden pallets over both the three</w:t>
      </w:r>
      <w:r w:rsidR="008C5F95">
        <w:t>-</w:t>
      </w:r>
      <w:r w:rsidR="006150C8">
        <w:t>year and six</w:t>
      </w:r>
      <w:r w:rsidR="008C5F95">
        <w:t>-</w:t>
      </w:r>
      <w:r w:rsidR="006150C8">
        <w:t xml:space="preserve">year projections, the </w:t>
      </w:r>
      <w:r w:rsidR="008C5F95">
        <w:t xml:space="preserve">cost is relatively insignificant given the magnitude of the project as </w:t>
      </w:r>
      <w:r w:rsidR="008C5F95">
        <w:lastRenderedPageBreak/>
        <w:t>a whole. Therefore, we would advise the plastic pallets which will provide superior quality and longevity.</w:t>
      </w:r>
    </w:p>
    <w:p w:rsidR="00023293" w:rsidRPr="00F44F96" w:rsidRDefault="003A1CC1" w:rsidP="00F44F96">
      <w:r>
        <w:rPr>
          <w:noProof/>
        </w:rPr>
        <w:drawing>
          <wp:anchor distT="0" distB="0" distL="114300" distR="114300" simplePos="0" relativeHeight="251667456" behindDoc="0" locked="0" layoutInCell="1" allowOverlap="1" wp14:anchorId="32919BAA" wp14:editId="3AF67236">
            <wp:simplePos x="0" y="0"/>
            <wp:positionH relativeFrom="margin">
              <wp:align>right</wp:align>
            </wp:positionH>
            <wp:positionV relativeFrom="paragraph">
              <wp:posOffset>190962</wp:posOffset>
            </wp:positionV>
            <wp:extent cx="5731510" cy="472440"/>
            <wp:effectExtent l="0" t="0" r="2540" b="3810"/>
            <wp:wrapTight wrapText="bothSides">
              <wp:wrapPolygon edited="0">
                <wp:start x="0" y="0"/>
                <wp:lineTo x="0" y="20903"/>
                <wp:lineTo x="21538" y="20903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6E44" w:rsidRDefault="00E26E44" w:rsidP="00BB54C6"/>
    <w:p w:rsidR="00261411" w:rsidRDefault="00261411" w:rsidP="00BB54C6"/>
    <w:p w:rsidR="00261411" w:rsidRDefault="00261411" w:rsidP="00BB54C6"/>
    <w:p w:rsidR="00261411" w:rsidRDefault="00261411" w:rsidP="00BB54C6"/>
    <w:sectPr w:rsidR="00261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2BA0"/>
    <w:multiLevelType w:val="hybridMultilevel"/>
    <w:tmpl w:val="DDCED966"/>
    <w:lvl w:ilvl="0" w:tplc="F2125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E645F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12B27"/>
    <w:multiLevelType w:val="hybridMultilevel"/>
    <w:tmpl w:val="8696AA12"/>
    <w:lvl w:ilvl="0" w:tplc="F2125B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E645F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8A7CE2"/>
    <w:multiLevelType w:val="hybridMultilevel"/>
    <w:tmpl w:val="697E944A"/>
    <w:lvl w:ilvl="0" w:tplc="F2125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E645F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C3BC7"/>
    <w:multiLevelType w:val="hybridMultilevel"/>
    <w:tmpl w:val="DEB081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813DA"/>
    <w:multiLevelType w:val="multilevel"/>
    <w:tmpl w:val="AA3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4198C"/>
    <w:multiLevelType w:val="multilevel"/>
    <w:tmpl w:val="8828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F4A2F"/>
    <w:multiLevelType w:val="hybridMultilevel"/>
    <w:tmpl w:val="15C6B008"/>
    <w:lvl w:ilvl="0" w:tplc="F2125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E645F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F562F"/>
    <w:multiLevelType w:val="hybridMultilevel"/>
    <w:tmpl w:val="4662810A"/>
    <w:lvl w:ilvl="0" w:tplc="F2125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E645F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15"/>
    <w:rsid w:val="0000399C"/>
    <w:rsid w:val="00013798"/>
    <w:rsid w:val="00023293"/>
    <w:rsid w:val="000925D2"/>
    <w:rsid w:val="0009707A"/>
    <w:rsid w:val="000A3A36"/>
    <w:rsid w:val="000D5DB3"/>
    <w:rsid w:val="000E2309"/>
    <w:rsid w:val="00106317"/>
    <w:rsid w:val="001119EF"/>
    <w:rsid w:val="00164329"/>
    <w:rsid w:val="001A6E77"/>
    <w:rsid w:val="001C290B"/>
    <w:rsid w:val="001C53BE"/>
    <w:rsid w:val="001C78DB"/>
    <w:rsid w:val="001E24E7"/>
    <w:rsid w:val="002144B5"/>
    <w:rsid w:val="002300D6"/>
    <w:rsid w:val="0025103C"/>
    <w:rsid w:val="00261411"/>
    <w:rsid w:val="00356107"/>
    <w:rsid w:val="00375893"/>
    <w:rsid w:val="003A1CC1"/>
    <w:rsid w:val="003B0120"/>
    <w:rsid w:val="003B2C74"/>
    <w:rsid w:val="003B5269"/>
    <w:rsid w:val="003C3815"/>
    <w:rsid w:val="003D037F"/>
    <w:rsid w:val="00463E74"/>
    <w:rsid w:val="00490C82"/>
    <w:rsid w:val="004D0855"/>
    <w:rsid w:val="0050100E"/>
    <w:rsid w:val="005075BD"/>
    <w:rsid w:val="0058757B"/>
    <w:rsid w:val="00590FDA"/>
    <w:rsid w:val="005D10CA"/>
    <w:rsid w:val="006150C8"/>
    <w:rsid w:val="00681202"/>
    <w:rsid w:val="00685FE7"/>
    <w:rsid w:val="006E3E58"/>
    <w:rsid w:val="00701227"/>
    <w:rsid w:val="00783BEA"/>
    <w:rsid w:val="007A3269"/>
    <w:rsid w:val="00805CA9"/>
    <w:rsid w:val="008221BB"/>
    <w:rsid w:val="00822463"/>
    <w:rsid w:val="0084633C"/>
    <w:rsid w:val="0084744C"/>
    <w:rsid w:val="00867E73"/>
    <w:rsid w:val="008C5F95"/>
    <w:rsid w:val="00902923"/>
    <w:rsid w:val="00914F69"/>
    <w:rsid w:val="00974700"/>
    <w:rsid w:val="009875BC"/>
    <w:rsid w:val="00987E45"/>
    <w:rsid w:val="009A05FE"/>
    <w:rsid w:val="009D0F63"/>
    <w:rsid w:val="009D7106"/>
    <w:rsid w:val="009E0F92"/>
    <w:rsid w:val="00A65931"/>
    <w:rsid w:val="00A748DF"/>
    <w:rsid w:val="00A7770D"/>
    <w:rsid w:val="00A93B5A"/>
    <w:rsid w:val="00AB04BC"/>
    <w:rsid w:val="00AC52C8"/>
    <w:rsid w:val="00AC63F4"/>
    <w:rsid w:val="00AC64AF"/>
    <w:rsid w:val="00AD7FDD"/>
    <w:rsid w:val="00BB54C6"/>
    <w:rsid w:val="00BE13B6"/>
    <w:rsid w:val="00C06793"/>
    <w:rsid w:val="00C37E55"/>
    <w:rsid w:val="00C570CB"/>
    <w:rsid w:val="00C825F3"/>
    <w:rsid w:val="00CE23A8"/>
    <w:rsid w:val="00D07322"/>
    <w:rsid w:val="00DE223F"/>
    <w:rsid w:val="00E02215"/>
    <w:rsid w:val="00E26E44"/>
    <w:rsid w:val="00E5727D"/>
    <w:rsid w:val="00E65E25"/>
    <w:rsid w:val="00E859A8"/>
    <w:rsid w:val="00F44F96"/>
    <w:rsid w:val="00FD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A263"/>
  <w15:chartTrackingRefBased/>
  <w15:docId w15:val="{C5A21D45-FCCD-4B00-80FD-4E0BE240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4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4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7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70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74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7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29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C2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0D2D4-695E-4D5B-AE58-D616DF1F1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Connolly</dc:creator>
  <cp:keywords/>
  <dc:description/>
  <cp:lastModifiedBy>Ross</cp:lastModifiedBy>
  <cp:revision>4</cp:revision>
  <dcterms:created xsi:type="dcterms:W3CDTF">2018-02-19T19:46:00Z</dcterms:created>
  <dcterms:modified xsi:type="dcterms:W3CDTF">2018-02-20T18:44:00Z</dcterms:modified>
</cp:coreProperties>
</file>