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Caso de Uso 1A: </w:t>
      </w:r>
      <w:r w:rsidDel="00000000" w:rsidR="00000000" w:rsidRPr="00000000">
        <w:rPr>
          <w:b w:val="1"/>
          <w:rtl w:val="0"/>
        </w:rPr>
        <w:t xml:space="preserve">Cambiar Contraseña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Cambiar contraseña.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terapeutas. gestores, participantes.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elcualquier usuario pueda cambiar su contraseña de sesión.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Haber iniciado sesión con cuenta válida.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Cambio de contraseña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95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 encuentra en la sección de cambiar contraseña.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completa los campos.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botón “Guardar”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que la contraseña antigua sea correcta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que la nueva contraseña y la confirmacion sean iguales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encripta la contraseña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la contraseña en la BD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cierra sesión 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la contraseña antigua incorrecta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notifica que la contraseña antigua es incorrecta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la nueva contraseña y confirmación diferentes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notifica que la nueva contraseña y la confirmacion son incorrectas 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Modificar Datos de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2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620"/>
        <w:gridCol w:w="2620"/>
        <w:tblGridChange w:id="0">
          <w:tblGrid>
            <w:gridCol w:w="2580"/>
            <w:gridCol w:w="2620"/>
            <w:gridCol w:w="262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Modificar Datos de Programa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1995"/>
        <w:gridCol w:w="1305"/>
        <w:tblGridChange w:id="0">
          <w:tblGrid>
            <w:gridCol w:w="5715"/>
            <w:gridCol w:w="1995"/>
            <w:gridCol w:w="130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Cambio de contraseña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Contraseña antigua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Nueva contraseña y confirmacion incorrectas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