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1A: </w:t>
      </w:r>
      <w:r w:rsidDel="00000000" w:rsidR="00000000" w:rsidRPr="00000000">
        <w:rPr>
          <w:b w:val="1"/>
          <w:rtl w:val="0"/>
        </w:rPr>
        <w:t xml:space="preserve">Modificar Objetivos de programa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Modificar Objetivos de programa.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Administrador, terapeutas. gestores.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 usuario pueda cambiar el nombre de los objetivos de algún programa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Haber iniciado sesión con cuenta válida y encontrarse dentro de los objetivos del programa deseado.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Cambio de nombre de objetivo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95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45" l="0" r="0" t="164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 encuentra en la sección de objetivos de un programa.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editar de un objetivo.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genera la interfaz para modificar objetivo.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completa el campo.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botón “Actualizar”.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actualiza el objetivo en la BD.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manda un mensaje de retroalimentación.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actualiza el objetivo sin completar el campo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notifica que debe completar el campo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Datos de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2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620"/>
        <w:gridCol w:w="2620"/>
        <w:tblGridChange w:id="0">
          <w:tblGrid>
            <w:gridCol w:w="2580"/>
            <w:gridCol w:w="2620"/>
            <w:gridCol w:w="262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Modificar Datos de Programa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1995"/>
        <w:gridCol w:w="1305"/>
        <w:tblGridChange w:id="0">
          <w:tblGrid>
            <w:gridCol w:w="5715"/>
            <w:gridCol w:w="1995"/>
            <w:gridCol w:w="130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Modifica objetivo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Modifica sin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