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6"/>
          <w:szCs w:val="56"/>
        </w:rPr>
        <w:t xml:space="preserve">NLB KOSOVO</w:t>
      </w:r>
    </w:p>
    <w:p>
      <w:pPr>
        <w:spacing w:after="100"/>
        <w:jc w:val="center"/>
      </w:pPr>
      <w:r>
        <w:rPr>
          <w:rFonts w:ascii="Arial" w:cs="Arial" w:eastAsia="Arial" w:hAnsi="Arial"/>
          <w:color w:val="2E75B6"/>
          <w:sz w:val="40"/>
          <w:szCs w:val="40"/>
        </w:rPr>
        <w:t xml:space="preserve">Scenario Modeling &amp; Deep Performance Analysis</w:t>
      </w:r>
    </w:p>
    <w:p>
      <w:pPr>
        <w:jc w:val="center"/>
      </w:pPr>
      <w:r>
        <w:rPr>
          <w:rFonts w:ascii="Arial" w:cs="Arial" w:eastAsia="Arial" w:hAnsi="Arial"/>
          <w:color w:val="404040"/>
          <w:sz w:val="28"/>
          <w:szCs w:val="28"/>
        </w:rPr>
        <w:t xml:space="preserve">Deliverables 3 &amp; 5 — Branch Network Optimization Package</w:t>
      </w:r>
    </w:p>
    <w:p>
      <w:pPr>
        <w:spacing w:before="600"/>
      </w:pPr>
    </w:p>
    <w:p>
      <w:pPr>
        <w:jc w:val="center"/>
      </w:pPr>
      <w:r>
        <w:rPr>
          <w:rFonts w:ascii="Arial" w:cs="Arial" w:eastAsia="Arial" w:hAnsi="Arial"/>
          <w:b/>
          <w:bCs/>
          <w:color w:val="CC0000"/>
          <w:sz w:val="22"/>
          <w:szCs w:val="22"/>
        </w:rPr>
        <w:t xml:space="preserve">March 2026 | Confidential — Board Level</w:t>
      </w:r>
    </w:p>
    <w:p>
      <w:r>
        <w:br w:type="page"/>
      </w:r>
    </w:p>
    <w:p>
      <w:pPr>
        <w:pStyle w:val="Heading1"/>
        <w:spacing w:after="200" w:before="360"/>
      </w:pPr>
      <w:r>
        <w:rPr>
          <w:rFonts w:ascii="Arial" w:cs="Arial" w:eastAsia="Arial" w:hAnsi="Arial"/>
          <w:b/>
          <w:bCs/>
          <w:color w:val="1F4E79"/>
          <w:sz w:val="32"/>
          <w:szCs w:val="32"/>
        </w:rPr>
        <w:t xml:space="preserve">PART A: SCENARIO MODELING FRAMEWORK</w:t>
      </w:r>
    </w:p>
    <w:p>
      <w:pPr>
        <w:spacing w:after="120"/>
      </w:pPr>
      <w:r>
        <w:rPr>
          <w:rFonts w:ascii="Arial" w:cs="Arial" w:eastAsia="Arial" w:hAnsi="Arial"/>
          <w:sz w:val="20"/>
          <w:szCs w:val="20"/>
        </w:rPr>
        <w:t xml:space="preserve">This section presents six strategic scenarios for branch network optimization. Each scenario is evaluated using available data. Where EUR profit impact cannot be credibly calculated from count-based data, impact is expressed through KPI logic, capacity effects, penetration improvements, and commercial opportunity.</w:t>
      </w:r>
    </w:p>
    <w:p>
      <w:pPr>
        <w:spacing w:after="80"/>
      </w:pPr>
      <w:r>
        <w:rPr>
          <w:rFonts w:ascii="Arial" w:cs="Arial" w:eastAsia="Arial" w:hAnsi="Arial"/>
          <w:i/>
          <w:iCs/>
          <w:color w:val="666666"/>
          <w:sz w:val="18"/>
          <w:szCs w:val="18"/>
        </w:rPr>
        <w:t xml:space="preserve">Note: All scenarios use count-based data. EUR revenue/cost impact requires branch-level P&amp;L data not available in current dataset. Directional impact is assessed, not precise financial projections.</w:t>
      </w:r>
    </w:p>
    <w:p>
      <w:pPr>
        <w:spacing w:after="80"/>
      </w:pPr>
    </w:p>
    <w:p>
      <w:pPr>
        <w:pStyle w:val="Heading2"/>
        <w:spacing w:after="160" w:before="280"/>
      </w:pPr>
      <w:r>
        <w:rPr>
          <w:rFonts w:ascii="Arial" w:cs="Arial" w:eastAsia="Arial" w:hAnsi="Arial"/>
          <w:b/>
          <w:bCs/>
          <w:color w:val="2E75B6"/>
          <w:sz w:val="26"/>
          <w:szCs w:val="26"/>
        </w:rPr>
        <w:t xml:space="preserve">Scenario 1: Underperforming High-Potential Branch Turnaround</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Prizren and Gjakove are NLB's two most critical underperformers. Together they represent 226,000 people (14% of Kosovo) and 11,124 businesses (14.3%), yet NLB's penetration is only 14.0% (PI) in both cities. The gap between their actual performance and their market potential represents the single largest commercial opportunity in the network.</w:t>
      </w:r>
    </w:p>
    <w:p>
      <w:pPr>
        <w:pStyle w:val="Heading3"/>
        <w:spacing w:after="120" w:before="200"/>
      </w:pPr>
      <w:r>
        <w:rPr>
          <w:rFonts w:ascii="Arial" w:cs="Arial" w:eastAsia="Arial" w:hAnsi="Arial"/>
          <w:b/>
          <w:bCs/>
          <w:color w:val="404040"/>
          <w:sz w:val="22"/>
          <w:szCs w:val="22"/>
        </w:rPr>
        <w:t xml:space="preserve">Branches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Branch</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Pop &gt;15</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Businesses</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Pen Now</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Biz Pen Now</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Target</w:t>
            </w:r>
          </w:p>
        </w:tc>
        <w:tc>
          <w:tcPr>
            <w:tcW w:type="dxa" w:w="1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Clients to Add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PRIZREN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115,421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7,119</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14.0%</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12.7%</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20.0%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+6,932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GJAKOVE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62,970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4,005</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14.0%</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10.8%</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20.0%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+3,782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178,391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11,124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+10,714</w:t>
            </w:r>
          </w:p>
        </w:tc>
      </w:tr>
    </w:tbl>
    <w:p>
      <w:pPr>
        <w:spacing w:after="80"/>
      </w:pPr>
    </w:p>
    <w:p>
      <w:pPr>
        <w:pStyle w:val="Heading3"/>
        <w:spacing w:after="120" w:before="200"/>
      </w:pPr>
      <w:r>
        <w:rPr>
          <w:rFonts w:ascii="Arial" w:cs="Arial" w:eastAsia="Arial" w:hAnsi="Arial"/>
          <w:b/>
          <w:bCs/>
          <w:color w:val="404040"/>
          <w:sz w:val="22"/>
          <w:szCs w:val="22"/>
        </w:rPr>
        <w:t xml:space="preserve">Assumptions</w:t>
      </w:r>
    </w:p>
    <w:p>
      <w:pPr>
        <w:spacing w:after="120"/>
      </w:pPr>
      <w:r>
        <w:rPr>
          <w:rFonts w:ascii="Arial" w:cs="Arial" w:eastAsia="Arial" w:hAnsi="Arial"/>
          <w:sz w:val="20"/>
          <w:szCs w:val="20"/>
        </w:rPr>
        <w:t xml:space="preserve">• Target: Raise PI penetration from 14% to 20% within 24 months (network average)</w:t>
      </w:r>
    </w:p>
    <w:p>
      <w:pPr>
        <w:spacing w:after="120"/>
      </w:pPr>
      <w:r>
        <w:rPr>
          <w:rFonts w:ascii="Arial" w:cs="Arial" w:eastAsia="Arial" w:hAnsi="Arial"/>
          <w:sz w:val="20"/>
          <w:szCs w:val="20"/>
        </w:rPr>
        <w:t xml:space="preserve">• Requires dedicated commercial push: 2 additional relationship managers, local marketing, POS acquisition blitz</w:t>
      </w:r>
    </w:p>
    <w:p>
      <w:pPr>
        <w:spacing w:after="120"/>
      </w:pPr>
      <w:r>
        <w:rPr>
          <w:rFonts w:ascii="Arial" w:cs="Arial" w:eastAsia="Arial" w:hAnsi="Arial"/>
          <w:sz w:val="20"/>
          <w:szCs w:val="20"/>
        </w:rPr>
        <w:t xml:space="preserve">• Assumes competitor market shares remain stable (conservative)</w:t>
      </w:r>
    </w:p>
    <w:p>
      <w:pPr>
        <w:spacing w:after="120"/>
      </w:pPr>
      <w:r>
        <w:rPr>
          <w:rFonts w:ascii="Arial" w:cs="Arial" w:eastAsia="Arial" w:hAnsi="Arial"/>
          <w:sz w:val="20"/>
          <w:szCs w:val="20"/>
        </w:rPr>
        <w:t xml:space="preserve">• Digital onboarding to accelerate new client acquisition</w:t>
      </w:r>
    </w:p>
    <w:p>
      <w:pPr>
        <w:pStyle w:val="Heading3"/>
        <w:spacing w:after="120" w:before="200"/>
      </w:pPr>
      <w:r>
        <w:rPr>
          <w:rFonts w:ascii="Arial" w:cs="Arial" w:eastAsia="Arial" w:hAnsi="Arial"/>
          <w:b/>
          <w:bCs/>
          <w:color w:val="404040"/>
          <w:sz w:val="22"/>
          <w:szCs w:val="22"/>
        </w:rPr>
        <w:t xml:space="preserve">KPI Impact</w:t>
      </w:r>
    </w:p>
    <w:p>
      <w:pPr>
        <w:spacing w:after="120"/>
      </w:pPr>
      <w:r>
        <w:rPr>
          <w:rFonts w:ascii="Arial" w:cs="Arial" w:eastAsia="Arial" w:hAnsi="Arial"/>
          <w:sz w:val="20"/>
          <w:szCs w:val="20"/>
        </w:rPr>
        <w:t xml:space="preserve">• PI Clients: +10,714 net new clients (+4.5% of NLB total)</w:t>
      </w:r>
    </w:p>
    <w:p>
      <w:pPr>
        <w:spacing w:after="120"/>
      </w:pPr>
      <w:r>
        <w:rPr>
          <w:rFonts w:ascii="Arial" w:cs="Arial" w:eastAsia="Arial" w:hAnsi="Arial"/>
          <w:sz w:val="20"/>
          <w:szCs w:val="20"/>
        </w:rPr>
        <w:t xml:space="preserve">• Business Clients: +500-800 new business clients if biz penetration rises to 15%</w:t>
      </w:r>
    </w:p>
    <w:p>
      <w:pPr>
        <w:spacing w:after="120"/>
      </w:pPr>
      <w:r>
        <w:rPr>
          <w:rFonts w:ascii="Arial" w:cs="Arial" w:eastAsia="Arial" w:hAnsi="Arial"/>
          <w:sz w:val="20"/>
          <w:szCs w:val="20"/>
        </w:rPr>
        <w:t xml:space="preserve">• Consumer Loans: +1,200-1,800 new consumer loans (assuming 12% penetration of new clients)</w:t>
      </w:r>
    </w:p>
    <w:p>
      <w:pPr>
        <w:spacing w:after="120"/>
      </w:pPr>
      <w:r>
        <w:rPr>
          <w:rFonts w:ascii="Arial" w:cs="Arial" w:eastAsia="Arial" w:hAnsi="Arial"/>
          <w:sz w:val="20"/>
          <w:szCs w:val="20"/>
        </w:rPr>
        <w:t xml:space="preserve">• POS Terminals: +100-200 new POS deployments</w:t>
      </w:r>
    </w:p>
    <w:p>
      <w:pPr>
        <w:spacing w:after="120"/>
      </w:pPr>
      <w:r>
        <w:rPr>
          <w:rFonts w:ascii="Arial" w:cs="Arial" w:eastAsia="Arial" w:hAnsi="Arial"/>
          <w:sz w:val="20"/>
          <w:szCs w:val="20"/>
        </w:rPr>
        <w:t xml:space="preserve">• M-Banking Users: +5,000-6,000 new digital users</w:t>
      </w:r>
    </w:p>
    <w:p>
      <w:pPr>
        <w:spacing w:after="120"/>
      </w:pPr>
      <w:r>
        <w:rPr>
          <w:rFonts w:ascii="Arial" w:cs="Arial" w:eastAsia="Arial" w:hAnsi="Arial"/>
          <w:sz w:val="20"/>
          <w:szCs w:val="20"/>
        </w:rPr>
        <w:t xml:space="preserve">• Network PI penetration: Rises from 19.2% to ~20.0%</w:t>
      </w:r>
    </w:p>
    <w:p>
      <w:pPr>
        <w:pStyle w:val="Heading3"/>
        <w:spacing w:after="120" w:before="200"/>
      </w:pPr>
      <w:r>
        <w:rPr>
          <w:rFonts w:ascii="Arial" w:cs="Arial" w:eastAsia="Arial" w:hAnsi="Arial"/>
          <w:b/>
          <w:bCs/>
          <w:color w:val="404040"/>
          <w:sz w:val="22"/>
          <w:szCs w:val="22"/>
        </w:rPr>
        <w:t xml:space="preserve">Likely Upside</w:t>
      </w:r>
    </w:p>
    <w:p>
      <w:pPr>
        <w:spacing w:after="120"/>
      </w:pPr>
      <w:r>
        <w:rPr>
          <w:rFonts w:ascii="Arial" w:cs="Arial" w:eastAsia="Arial" w:hAnsi="Arial"/>
          <w:sz w:val="20"/>
          <w:szCs w:val="20"/>
        </w:rPr>
        <w:t xml:space="preserve">[HYPOTHESIS] Adding 10,714 PI clients at estimated average revenue of EUR 150-300/client/year = EUR 1.6M-3.2M annual revenue uplift. This is a rough estimate requiring validation with actual revenue-per-client data.</w:t>
      </w:r>
    </w:p>
    <w:p>
      <w:pPr>
        <w:pStyle w:val="Heading3"/>
        <w:spacing w:after="120" w:before="200"/>
      </w:pPr>
      <w:r>
        <w:rPr>
          <w:rFonts w:ascii="Arial" w:cs="Arial" w:eastAsia="Arial" w:hAnsi="Arial"/>
          <w:b/>
          <w:bCs/>
          <w:color w:val="404040"/>
          <w:sz w:val="22"/>
          <w:szCs w:val="22"/>
        </w:rPr>
        <w:t xml:space="preserve">Risks</w:t>
      </w:r>
    </w:p>
    <w:p>
      <w:pPr>
        <w:spacing w:after="120"/>
      </w:pPr>
      <w:r>
        <w:rPr>
          <w:rFonts w:ascii="Arial" w:cs="Arial" w:eastAsia="Arial" w:hAnsi="Arial"/>
          <w:sz w:val="20"/>
          <w:szCs w:val="20"/>
        </w:rPr>
        <w:t xml:space="preserve">• Competitive response from RBKO, BKT, and PCB who are likely entrenched in these markets</w:t>
      </w:r>
    </w:p>
    <w:p>
      <w:pPr>
        <w:spacing w:after="120"/>
      </w:pPr>
      <w:r>
        <w:rPr>
          <w:rFonts w:ascii="Arial" w:cs="Arial" w:eastAsia="Arial" w:hAnsi="Arial"/>
          <w:sz w:val="20"/>
          <w:szCs w:val="20"/>
        </w:rPr>
        <w:t xml:space="preserve">• Root cause of underperformance may be structural (location, staffing quality) not just effort</w:t>
      </w:r>
    </w:p>
    <w:p>
      <w:pPr>
        <w:spacing w:after="120"/>
      </w:pPr>
      <w:r>
        <w:rPr>
          <w:rFonts w:ascii="Arial" w:cs="Arial" w:eastAsia="Arial" w:hAnsi="Arial"/>
          <w:sz w:val="20"/>
          <w:szCs w:val="20"/>
        </w:rPr>
        <w:t xml:space="preserve">• Staff capacity may not exist for commercial push without reallocation from other branches</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Approve dedicated turnaround budget for Prizren and Gjakove. Commission root cause analysis within 30 days. Decide on additional RM headcount allocation.</w:t>
      </w:r>
    </w:p>
    <w:p>
      <w:pPr>
        <w:spacing w:after="80"/>
      </w:pPr>
    </w:p>
    <w:p>
      <w:r>
        <w:br w:type="page"/>
      </w:r>
    </w:p>
    <w:p>
      <w:pPr>
        <w:pStyle w:val="Heading2"/>
        <w:spacing w:after="160" w:before="280"/>
      </w:pPr>
      <w:r>
        <w:rPr>
          <w:rFonts w:ascii="Arial" w:cs="Arial" w:eastAsia="Arial" w:hAnsi="Arial"/>
          <w:b/>
          <w:bCs/>
          <w:color w:val="2E75B6"/>
          <w:sz w:val="26"/>
          <w:szCs w:val="26"/>
        </w:rPr>
        <w:t xml:space="preserve">Scenario 2: Branch Staffing Rebalance</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Without actual headcount data, this scenario uses digital adoption as a proxy for teller workload. Branches with high digital adoption (&gt;5% M-Banking rate) likely have lower teller transaction volumes and potential for staff redeployment. Branches with low digital adoption carry disproportionate teller workloads that could be partly migrated.</w:t>
      </w:r>
    </w:p>
    <w:p>
      <w:pPr>
        <w:pStyle w:val="Heading3"/>
        <w:spacing w:after="120" w:before="200"/>
      </w:pPr>
      <w:r>
        <w:rPr>
          <w:rFonts w:ascii="Arial" w:cs="Arial" w:eastAsia="Arial" w:hAnsi="Arial"/>
          <w:b/>
          <w:bCs/>
          <w:color w:val="404040"/>
          <w:sz w:val="22"/>
          <w:szCs w:val="22"/>
        </w:rPr>
        <w:t xml:space="preserve">Branches Affected</w:t>
      </w:r>
    </w:p>
    <w:p>
      <w:pPr>
        <w:spacing w:after="120"/>
      </w:pPr>
      <w:r>
        <w:rPr>
          <w:rFonts w:ascii="Arial" w:cs="Arial" w:eastAsia="Arial" w:hAnsi="Arial"/>
          <w:b/>
          <w:bCs/>
          <w:sz w:val="20"/>
          <w:szCs w:val="20"/>
        </w:rPr>
        <w:t xml:space="preserve">Branches with potential teller overcapacity (high digital, low growth):</w:t>
      </w:r>
    </w:p>
    <w:p>
      <w:pPr>
        <w:spacing w:after="120"/>
      </w:pPr>
      <w:r>
        <w:rPr>
          <w:rFonts w:ascii="Arial" w:cs="Arial" w:eastAsia="Arial" w:hAnsi="Arial"/>
          <w:sz w:val="20"/>
          <w:szCs w:val="20"/>
        </w:rPr>
        <w:t xml:space="preserve">• Gracanice: 86% biz digital, very small branch, limited product depth</w:t>
      </w:r>
    </w:p>
    <w:p>
      <w:pPr>
        <w:spacing w:after="120"/>
      </w:pPr>
      <w:r>
        <w:rPr>
          <w:rFonts w:ascii="Arial" w:cs="Arial" w:eastAsia="Arial" w:hAnsi="Arial"/>
          <w:sz w:val="20"/>
          <w:szCs w:val="20"/>
        </w:rPr>
        <w:t xml:space="preserve">• Mitrovice Veriore: 86% biz digital, saturated market</w:t>
      </w:r>
    </w:p>
    <w:p>
      <w:pPr>
        <w:spacing w:after="120"/>
      </w:pPr>
      <w:r>
        <w:rPr>
          <w:rFonts w:ascii="Arial" w:cs="Arial" w:eastAsia="Arial" w:hAnsi="Arial"/>
          <w:sz w:val="20"/>
          <w:szCs w:val="20"/>
        </w:rPr>
        <w:t xml:space="preserve">• Zubin Potok: 92% biz digital, tiny market</w:t>
      </w:r>
    </w:p>
    <w:p>
      <w:pPr>
        <w:spacing w:after="120"/>
      </w:pPr>
      <w:r>
        <w:rPr>
          <w:rFonts w:ascii="Arial" w:cs="Arial" w:eastAsia="Arial" w:hAnsi="Arial"/>
          <w:sz w:val="20"/>
          <w:szCs w:val="20"/>
        </w:rPr>
        <w:t xml:space="preserve">• Prishtine: Highest absolute digital adoption</w:t>
      </w:r>
    </w:p>
    <w:p>
      <w:pPr>
        <w:spacing w:after="120"/>
      </w:pPr>
      <w:r>
        <w:rPr>
          <w:rFonts w:ascii="Arial" w:cs="Arial" w:eastAsia="Arial" w:hAnsi="Arial"/>
          <w:b/>
          <w:bCs/>
          <w:sz w:val="20"/>
          <w:szCs w:val="20"/>
        </w:rPr>
        <w:t xml:space="preserve">Branches likely needing more staff (low digital, high opportunity):</w:t>
      </w:r>
    </w:p>
    <w:p>
      <w:pPr>
        <w:spacing w:after="120"/>
      </w:pPr>
      <w:r>
        <w:rPr>
          <w:rFonts w:ascii="Arial" w:cs="Arial" w:eastAsia="Arial" w:hAnsi="Arial"/>
          <w:sz w:val="20"/>
          <w:szCs w:val="20"/>
        </w:rPr>
        <w:t xml:space="preserve">• Prizren: 4% M-Banking, massive market gap</w:t>
      </w:r>
    </w:p>
    <w:p>
      <w:pPr>
        <w:spacing w:after="120"/>
      </w:pPr>
      <w:r>
        <w:rPr>
          <w:rFonts w:ascii="Arial" w:cs="Arial" w:eastAsia="Arial" w:hAnsi="Arial"/>
          <w:sz w:val="20"/>
          <w:szCs w:val="20"/>
        </w:rPr>
        <w:t xml:space="preserve">• Gjakove: 3.3% M-Banking, losing business clients</w:t>
      </w:r>
    </w:p>
    <w:p>
      <w:pPr>
        <w:spacing w:after="120"/>
      </w:pPr>
      <w:r>
        <w:rPr>
          <w:rFonts w:ascii="Arial" w:cs="Arial" w:eastAsia="Arial" w:hAnsi="Arial"/>
          <w:sz w:val="20"/>
          <w:szCs w:val="20"/>
        </w:rPr>
        <w:t xml:space="preserve">• Vushtrri: 2.6% M-Banking, growth engine</w:t>
      </w:r>
    </w:p>
    <w:p>
      <w:pPr>
        <w:spacing w:after="120"/>
      </w:pPr>
      <w:r>
        <w:rPr>
          <w:rFonts w:ascii="Arial" w:cs="Arial" w:eastAsia="Arial" w:hAnsi="Arial"/>
          <w:sz w:val="20"/>
          <w:szCs w:val="20"/>
        </w:rPr>
        <w:t xml:space="preserve">• Rahovec: 2.4% M-Banking, underperformer</w:t>
      </w:r>
    </w:p>
    <w:p>
      <w:pPr>
        <w:pStyle w:val="Heading3"/>
        <w:spacing w:after="120" w:before="200"/>
      </w:pPr>
      <w:r>
        <w:rPr>
          <w:rFonts w:ascii="Arial" w:cs="Arial" w:eastAsia="Arial" w:hAnsi="Arial"/>
          <w:b/>
          <w:bCs/>
          <w:color w:val="404040"/>
          <w:sz w:val="22"/>
          <w:szCs w:val="22"/>
        </w:rPr>
        <w:t xml:space="preserve">KPI Impact Direction</w:t>
      </w:r>
    </w:p>
    <w:p>
      <w:pPr>
        <w:spacing w:after="120"/>
      </w:pPr>
      <w:r>
        <w:rPr>
          <w:rFonts w:ascii="Arial" w:cs="Arial" w:eastAsia="Arial" w:hAnsi="Arial"/>
          <w:sz w:val="20"/>
          <w:szCs w:val="20"/>
        </w:rPr>
        <w:t xml:space="preserve">• Redeploying 1-2 tellers from digitally mature branches to high-opportunity branches</w:t>
      </w:r>
    </w:p>
    <w:p>
      <w:pPr>
        <w:spacing w:after="120"/>
      </w:pPr>
      <w:r>
        <w:rPr>
          <w:rFonts w:ascii="Arial" w:cs="Arial" w:eastAsia="Arial" w:hAnsi="Arial"/>
          <w:sz w:val="20"/>
          <w:szCs w:val="20"/>
        </w:rPr>
        <w:t xml:space="preserve">• Net effect: zero headcount change, improved allocation</w:t>
      </w:r>
    </w:p>
    <w:p>
      <w:pPr>
        <w:spacing w:after="120"/>
      </w:pPr>
      <w:r>
        <w:rPr>
          <w:rFonts w:ascii="Arial" w:cs="Arial" w:eastAsia="Arial" w:hAnsi="Arial"/>
          <w:sz w:val="20"/>
          <w:szCs w:val="20"/>
        </w:rPr>
        <w:t xml:space="preserve">• Expected: +3-5pp PI penetration in receiving branches within 12 months</w:t>
      </w:r>
    </w:p>
    <w:p>
      <w:pPr>
        <w:spacing w:after="120"/>
      </w:pPr>
      <w:r>
        <w:rPr>
          <w:rFonts w:ascii="Arial" w:cs="Arial" w:eastAsia="Arial" w:hAnsi="Arial"/>
          <w:sz w:val="20"/>
          <w:szCs w:val="20"/>
        </w:rPr>
        <w:t xml:space="preserve">• Expected: cost-to-income improvement of 1-3pp through better allocation</w:t>
      </w:r>
    </w:p>
    <w:p>
      <w:pPr>
        <w:pStyle w:val="Heading3"/>
        <w:spacing w:after="120" w:before="200"/>
      </w:pPr>
      <w:r>
        <w:rPr>
          <w:rFonts w:ascii="Arial" w:cs="Arial" w:eastAsia="Arial" w:hAnsi="Arial"/>
          <w:b/>
          <w:bCs/>
          <w:color w:val="404040"/>
          <w:sz w:val="22"/>
          <w:szCs w:val="22"/>
        </w:rPr>
        <w:t xml:space="preserve">Dependencies</w:t>
      </w:r>
    </w:p>
    <w:p>
      <w:pPr>
        <w:spacing w:after="120"/>
      </w:pPr>
      <w:r>
        <w:rPr>
          <w:rFonts w:ascii="Arial" w:cs="Arial" w:eastAsia="Arial" w:hAnsi="Arial"/>
          <w:sz w:val="20"/>
          <w:szCs w:val="20"/>
        </w:rPr>
        <w:t xml:space="preserve">• Requires actual staffing data to validate assumptions</w:t>
      </w:r>
    </w:p>
    <w:p>
      <w:pPr>
        <w:spacing w:after="120"/>
      </w:pPr>
      <w:r>
        <w:rPr>
          <w:rFonts w:ascii="Arial" w:cs="Arial" w:eastAsia="Arial" w:hAnsi="Arial"/>
          <w:sz w:val="20"/>
          <w:szCs w:val="20"/>
        </w:rPr>
        <w:t xml:space="preserve">• Staff willingness to relocate (especially between cities)</w:t>
      </w:r>
    </w:p>
    <w:p>
      <w:pPr>
        <w:spacing w:after="120"/>
      </w:pPr>
      <w:r>
        <w:rPr>
          <w:rFonts w:ascii="Arial" w:cs="Arial" w:eastAsia="Arial" w:hAnsi="Arial"/>
          <w:sz w:val="20"/>
          <w:szCs w:val="20"/>
        </w:rPr>
        <w:t xml:space="preserve">• Union/employment law considerations</w:t>
      </w:r>
    </w:p>
    <w:p>
      <w:pPr>
        <w:spacing w:after="120"/>
      </w:pPr>
      <w:r>
        <w:rPr>
          <w:rFonts w:ascii="Arial" w:cs="Arial" w:eastAsia="Arial" w:hAnsi="Arial"/>
          <w:sz w:val="20"/>
          <w:szCs w:val="20"/>
        </w:rPr>
        <w:t xml:space="preserve">• Customer impact assessment for branches losing staff</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Obtain branch-level headcount and transaction volume data. Commission teller utilization study. Present rebalancing proposal with specific branch pairs.</w:t>
      </w:r>
    </w:p>
    <w:p>
      <w:pPr>
        <w:spacing w:after="80"/>
      </w:pPr>
    </w:p>
    <w:p>
      <w:r>
        <w:br w:type="page"/>
      </w:r>
    </w:p>
    <w:p>
      <w:pPr>
        <w:pStyle w:val="Heading2"/>
        <w:spacing w:after="160" w:before="280"/>
      </w:pPr>
      <w:r>
        <w:rPr>
          <w:rFonts w:ascii="Arial" w:cs="Arial" w:eastAsia="Arial" w:hAnsi="Arial"/>
          <w:b/>
          <w:bCs/>
          <w:color w:val="2E75B6"/>
          <w:sz w:val="26"/>
          <w:szCs w:val="26"/>
        </w:rPr>
        <w:t xml:space="preserve">Scenario 3: Teller-to-Digital Migration</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The Kosovo banking system has 55% e-banking penetration. NLB's branch-level digital adoption varies from &lt;3% to &gt;75% M-Banking. Accelerating digital migration across all branches reduces teller demand, improves cost efficiency, and enables workforce redeployment to revenue-generating activities.</w:t>
      </w:r>
    </w:p>
    <w:p>
      <w:pPr>
        <w:pStyle w:val="Heading3"/>
        <w:spacing w:after="120" w:before="200"/>
      </w:pPr>
      <w:r>
        <w:rPr>
          <w:rFonts w:ascii="Arial" w:cs="Arial" w:eastAsia="Arial" w:hAnsi="Arial"/>
          <w:b/>
          <w:bCs/>
          <w:color w:val="404040"/>
          <w:sz w:val="22"/>
          <w:szCs w:val="22"/>
        </w:rPr>
        <w:t xml:space="preserve">Branches Affected</w:t>
      </w:r>
    </w:p>
    <w:p>
      <w:pPr>
        <w:spacing w:after="120"/>
      </w:pPr>
      <w:r>
        <w:rPr>
          <w:rFonts w:ascii="Arial" w:cs="Arial" w:eastAsia="Arial" w:hAnsi="Arial"/>
          <w:sz w:val="20"/>
          <w:szCs w:val="20"/>
        </w:rPr>
        <w:t xml:space="preserve">All 29 branches, with priority on the 12 branches below 4% PI M-Banking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Branch</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M-Bank Rate</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Clients</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Non-Digital</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Target Rate</w:t>
            </w:r>
          </w:p>
        </w:tc>
        <w:tc>
          <w:tcPr>
            <w:tcW w:type="dxa" w:w="1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Clients to Migrate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RAHOVEC</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5,514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5,382</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143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OBILIQ</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4,126</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4,027</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107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VUSHTRRI</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6,504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6,335</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156</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MITROVICE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2.6%</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11,901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11,591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286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SUHAREKE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4.7%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5,922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5,644</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18</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GJAKOVE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3.3%</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8,812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8,521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SKENDERAJ</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6,091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5,890</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102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PRIZREN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3.8%</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16,152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15,538</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194</w:t>
            </w:r>
          </w:p>
        </w:tc>
      </w:tr>
    </w:tbl>
    <w:p>
      <w:pPr>
        <w:spacing w:after="80"/>
      </w:pPr>
    </w:p>
    <w:p>
      <w:pPr>
        <w:pStyle w:val="Heading3"/>
        <w:spacing w:after="120" w:before="200"/>
      </w:pPr>
      <w:r>
        <w:rPr>
          <w:rFonts w:ascii="Arial" w:cs="Arial" w:eastAsia="Arial" w:hAnsi="Arial"/>
          <w:b/>
          <w:bCs/>
          <w:color w:val="404040"/>
          <w:sz w:val="22"/>
          <w:szCs w:val="22"/>
        </w:rPr>
        <w:t xml:space="preserve">KPI Impact</w:t>
      </w:r>
    </w:p>
    <w:p>
      <w:pPr>
        <w:spacing w:after="120"/>
      </w:pPr>
      <w:r>
        <w:rPr>
          <w:rFonts w:ascii="Arial" w:cs="Arial" w:eastAsia="Arial" w:hAnsi="Arial"/>
          <w:sz w:val="20"/>
          <w:szCs w:val="20"/>
        </w:rPr>
        <w:t xml:space="preserve">• ~1,200-1,500 additional M-Banking users from priority branches alone</w:t>
      </w:r>
    </w:p>
    <w:p>
      <w:pPr>
        <w:spacing w:after="120"/>
      </w:pPr>
      <w:r>
        <w:rPr>
          <w:rFonts w:ascii="Arial" w:cs="Arial" w:eastAsia="Arial" w:hAnsi="Arial"/>
          <w:sz w:val="20"/>
          <w:szCs w:val="20"/>
        </w:rPr>
        <w:t xml:space="preserve">• Estimated 10-15% reduction in teller transaction volume in migrated branches</w:t>
      </w:r>
    </w:p>
    <w:p>
      <w:pPr>
        <w:spacing w:after="120"/>
      </w:pPr>
      <w:r>
        <w:rPr>
          <w:rFonts w:ascii="Arial" w:cs="Arial" w:eastAsia="Arial" w:hAnsi="Arial"/>
          <w:sz w:val="20"/>
          <w:szCs w:val="20"/>
        </w:rPr>
        <w:t xml:space="preserve">• Freed teller capacity equivalent to 3-5 FTE for redeployment</w:t>
      </w:r>
    </w:p>
    <w:p>
      <w:pPr>
        <w:spacing w:after="120"/>
      </w:pPr>
      <w:r>
        <w:rPr>
          <w:rFonts w:ascii="Arial" w:cs="Arial" w:eastAsia="Arial" w:hAnsi="Arial"/>
          <w:sz w:val="20"/>
          <w:szCs w:val="20"/>
        </w:rPr>
        <w:t xml:space="preserve">• Customer satisfaction improvement through 24/7 digital access</w:t>
      </w:r>
    </w:p>
    <w:p>
      <w:pPr>
        <w:spacing w:after="120"/>
      </w:pPr>
      <w:r>
        <w:rPr>
          <w:rFonts w:ascii="Arial" w:cs="Arial" w:eastAsia="Arial" w:hAnsi="Arial"/>
          <w:sz w:val="20"/>
          <w:szCs w:val="20"/>
        </w:rPr>
        <w:t xml:space="preserve">• Long-term cost-to-income improvement of 2-4pp</w:t>
      </w:r>
    </w:p>
    <w:p>
      <w:pPr>
        <w:pStyle w:val="Heading3"/>
        <w:spacing w:after="120" w:before="200"/>
      </w:pPr>
      <w:r>
        <w:rPr>
          <w:rFonts w:ascii="Arial" w:cs="Arial" w:eastAsia="Arial" w:hAnsi="Arial"/>
          <w:b/>
          <w:bCs/>
          <w:color w:val="404040"/>
          <w:sz w:val="22"/>
          <w:szCs w:val="22"/>
        </w:rPr>
        <w:t xml:space="preserve">Operational Feasibility</w:t>
      </w:r>
    </w:p>
    <w:p>
      <w:pPr>
        <w:spacing w:after="120"/>
      </w:pPr>
      <w:r>
        <w:rPr>
          <w:rFonts w:ascii="Arial" w:cs="Arial" w:eastAsia="Arial" w:hAnsi="Arial"/>
          <w:sz w:val="20"/>
          <w:szCs w:val="20"/>
        </w:rPr>
        <w:t xml:space="preserve">HIGH. Digital onboarding can be mandated at every client touchpoint immediately. Requires: (1) M-Banking activation incentives for staff, (2) customer education materials in Albanian and Serbian, (3) branch-level digital targets in KPI framework, (4) self-service kiosk deployment in high-traffic branches.</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Set branch-level M-Banking activation targets. Approve incentive budget for digital onboarding. Decide on self-service kiosk investment.</w:t>
      </w:r>
    </w:p>
    <w:p>
      <w:pPr>
        <w:spacing w:after="80"/>
      </w:pPr>
    </w:p>
    <w:p>
      <w:r>
        <w:br w:type="page"/>
      </w:r>
    </w:p>
    <w:p>
      <w:pPr>
        <w:pStyle w:val="Heading2"/>
        <w:spacing w:after="160" w:before="280"/>
      </w:pPr>
      <w:r>
        <w:rPr>
          <w:rFonts w:ascii="Arial" w:cs="Arial" w:eastAsia="Arial" w:hAnsi="Arial"/>
          <w:b/>
          <w:bCs/>
          <w:color w:val="2E75B6"/>
          <w:sz w:val="26"/>
          <w:szCs w:val="26"/>
        </w:rPr>
        <w:t xml:space="preserve">Scenario 4: Light-Format Conversion for Small Branches</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Several branches operate in very small markets (population &lt;15,000) where a full-service branch format may not be cost-justified. Converting to a lighter format — reduced hours, appointment-based advisory, cashless self-service — can maintain market presence while reducing operational cost.</w:t>
      </w:r>
    </w:p>
    <w:p>
      <w:pPr>
        <w:pStyle w:val="Heading3"/>
        <w:spacing w:after="120" w:before="200"/>
      </w:pPr>
      <w:r>
        <w:rPr>
          <w:rFonts w:ascii="Arial" w:cs="Arial" w:eastAsia="Arial" w:hAnsi="Arial"/>
          <w:b/>
          <w:bCs/>
          <w:color w:val="404040"/>
          <w:sz w:val="22"/>
          <w:szCs w:val="22"/>
        </w:rPr>
        <w:t xml:space="preserve">Candidates for Light-Format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600"/>
        <w:gridCol w:w="22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Branch</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Population</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Clients</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Pen</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Biz Digital</w:t>
            </w:r>
          </w:p>
        </w:tc>
        <w:tc>
          <w:tcPr>
            <w:tcW w:type="dxa" w:w="22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Recommended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SHTERPC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10,771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2,976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26.3%</w:t>
            </w:r>
          </w:p>
        </w:tc>
        <w:tc>
          <w:tcPr>
            <w:tcW w:type="dxa" w:w="226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sz w:val="18"/>
                <w:szCs w:val="18"/>
              </w:rPr>
              <w:t xml:space="preserve">Reduced hours + appointment advisory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HANI I ELEZIT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8,533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3,424</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53.1%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39.8%</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Maintain full service (border position, high pen)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LEPOSAVIQ</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9,485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51.9%</w:t>
            </w:r>
          </w:p>
        </w:tc>
        <w:tc>
          <w:tcPr>
            <w:tcW w:type="dxa" w:w="226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sz w:val="18"/>
                <w:szCs w:val="18"/>
              </w:rPr>
              <w:t xml:space="preserve">Service point (2 days/week)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ZUBIN POTOK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3,385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184</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6.3%</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92.3%</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Digital-first + monthly advisor visit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GRACANICE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18,486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3,691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86.1%</w:t>
            </w:r>
          </w:p>
        </w:tc>
        <w:tc>
          <w:tcPr>
            <w:tcW w:type="dxa" w:w="226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left"/>
            </w:pPr>
            <w:r>
              <w:rPr>
                <w:rFonts w:ascii="Arial" w:cs="Arial" w:eastAsia="Arial" w:hAnsi="Arial"/>
                <w:sz w:val="18"/>
                <w:szCs w:val="18"/>
              </w:rPr>
              <w:t xml:space="preserve">Business advisory center (reduce retail)</w:t>
            </w:r>
          </w:p>
        </w:tc>
      </w:tr>
    </w:tbl>
    <w:p>
      <w:pPr>
        <w:spacing w:after="80"/>
      </w:pPr>
    </w:p>
    <w:p>
      <w:pPr>
        <w:pStyle w:val="Heading3"/>
        <w:spacing w:after="120" w:before="200"/>
      </w:pPr>
      <w:r>
        <w:rPr>
          <w:rFonts w:ascii="Arial" w:cs="Arial" w:eastAsia="Arial" w:hAnsi="Arial"/>
          <w:b/>
          <w:bCs/>
          <w:color w:val="404040"/>
          <w:sz w:val="22"/>
          <w:szCs w:val="22"/>
        </w:rPr>
        <w:t xml:space="preserve">KPI Impact</w:t>
      </w:r>
    </w:p>
    <w:p>
      <w:pPr>
        <w:spacing w:after="120"/>
      </w:pPr>
      <w:r>
        <w:rPr>
          <w:rFonts w:ascii="Arial" w:cs="Arial" w:eastAsia="Arial" w:hAnsi="Arial"/>
          <w:sz w:val="20"/>
          <w:szCs w:val="20"/>
        </w:rPr>
        <w:t xml:space="preserve">• Operational cost reduction: 20-40% per converted branch (staff, premises, utilities)</w:t>
      </w:r>
    </w:p>
    <w:p>
      <w:pPr>
        <w:spacing w:after="120"/>
      </w:pPr>
      <w:r>
        <w:rPr>
          <w:rFonts w:ascii="Arial" w:cs="Arial" w:eastAsia="Arial" w:hAnsi="Arial"/>
          <w:sz w:val="20"/>
          <w:szCs w:val="20"/>
        </w:rPr>
        <w:t xml:space="preserve">• Estimated 3-5 FTE freed for redeployment to high-opportunity branches</w:t>
      </w:r>
    </w:p>
    <w:p>
      <w:pPr>
        <w:spacing w:after="120"/>
      </w:pPr>
      <w:r>
        <w:rPr>
          <w:rFonts w:ascii="Arial" w:cs="Arial" w:eastAsia="Arial" w:hAnsi="Arial"/>
          <w:sz w:val="20"/>
          <w:szCs w:val="20"/>
        </w:rPr>
        <w:t xml:space="preserve">• Minimal client attrition risk if digital channels are adequate (&lt;2% expected)</w:t>
      </w:r>
    </w:p>
    <w:p>
      <w:pPr>
        <w:spacing w:after="120"/>
      </w:pPr>
      <w:r>
        <w:rPr>
          <w:rFonts w:ascii="Arial" w:cs="Arial" w:eastAsia="Arial" w:hAnsi="Arial"/>
          <w:sz w:val="20"/>
          <w:szCs w:val="20"/>
        </w:rPr>
        <w:t xml:space="preserve">• Net impact: Better cost efficiency with maintained market presence</w:t>
      </w:r>
    </w:p>
    <w:p>
      <w:pPr>
        <w:pStyle w:val="Heading3"/>
        <w:spacing w:after="120" w:before="200"/>
      </w:pPr>
      <w:r>
        <w:rPr>
          <w:rFonts w:ascii="Arial" w:cs="Arial" w:eastAsia="Arial" w:hAnsi="Arial"/>
          <w:b/>
          <w:bCs/>
          <w:color w:val="404040"/>
          <w:sz w:val="22"/>
          <w:szCs w:val="22"/>
        </w:rPr>
        <w:t xml:space="preserve">Risks</w:t>
      </w:r>
    </w:p>
    <w:p>
      <w:pPr>
        <w:spacing w:after="120"/>
      </w:pPr>
      <w:r>
        <w:rPr>
          <w:rFonts w:ascii="Arial" w:cs="Arial" w:eastAsia="Arial" w:hAnsi="Arial"/>
          <w:sz w:val="20"/>
          <w:szCs w:val="20"/>
        </w:rPr>
        <w:t xml:space="preserve">• Client perception of service downgrade in communities where NLB is the only bank</w:t>
      </w:r>
    </w:p>
    <w:p>
      <w:pPr>
        <w:spacing w:after="120"/>
      </w:pPr>
      <w:r>
        <w:rPr>
          <w:rFonts w:ascii="Arial" w:cs="Arial" w:eastAsia="Arial" w:hAnsi="Arial"/>
          <w:sz w:val="20"/>
          <w:szCs w:val="20"/>
        </w:rPr>
        <w:t xml:space="preserve">• Regulatory requirements for minimum branch presence may constrain format changes</w:t>
      </w:r>
    </w:p>
    <w:p>
      <w:pPr>
        <w:spacing w:after="120"/>
      </w:pPr>
      <w:r>
        <w:rPr>
          <w:rFonts w:ascii="Arial" w:cs="Arial" w:eastAsia="Arial" w:hAnsi="Arial"/>
          <w:sz w:val="20"/>
          <w:szCs w:val="20"/>
        </w:rPr>
        <w:t xml:space="preserve">• Hani i Elezit should NOT be converted — border position drives strategic value beyond local population</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Commission branch-level cost study for the 5 candidates. Assess regulatory requirements for minimum branch format. Pilot light-format conversion in Zubin Potok or Leposaviq.</w:t>
      </w:r>
    </w:p>
    <w:p>
      <w:pPr>
        <w:spacing w:after="80"/>
      </w:pPr>
    </w:p>
    <w:p>
      <w:r>
        <w:br w:type="page"/>
      </w:r>
    </w:p>
    <w:p>
      <w:pPr>
        <w:pStyle w:val="Heading2"/>
        <w:spacing w:after="160" w:before="280"/>
      </w:pPr>
      <w:r>
        <w:rPr>
          <w:rFonts w:ascii="Arial" w:cs="Arial" w:eastAsia="Arial" w:hAnsi="Arial"/>
          <w:b/>
          <w:bCs/>
          <w:color w:val="2E75B6"/>
          <w:sz w:val="26"/>
          <w:szCs w:val="26"/>
        </w:rPr>
        <w:t xml:space="preserve">Scenario 5: New Branch / Service Point in White-Space Markets</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Nine Kosovo municipalities have no NLB branch. Two — Dragash and Shtime — have populations &gt;20,000 with meaningful business bases, making them viable candidates for physical entry. The remaining seven are too small for traditional branches but could be served through agent banking or digital-first models.</w:t>
      </w:r>
    </w:p>
    <w:p>
      <w:pPr>
        <w:pStyle w:val="Heading3"/>
        <w:spacing w:after="120" w:before="200"/>
      </w:pPr>
      <w:r>
        <w:rPr>
          <w:rFonts w:ascii="Arial" w:cs="Arial" w:eastAsia="Arial" w:hAnsi="Arial"/>
          <w:b/>
          <w:bCs/>
          <w:color w:val="404040"/>
          <w:sz w:val="22"/>
          <w:szCs w:val="22"/>
        </w:rPr>
        <w:t xml:space="preserve">Priority Expansion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200"/>
        <w:gridCol w:w="1200"/>
        <w:gridCol w:w="18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Municipality</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Population</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Pop &gt;15</w:t>
            </w:r>
          </w:p>
        </w:tc>
        <w:tc>
          <w:tcPr>
            <w:tcW w:type="dxa" w:w="11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Businesses</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Biz/1000pop</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c>
          <w:tcPr>
            <w:tcW w:type="dxa" w:w="18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Format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DRAGASH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28,896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23,559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652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22.6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Light-format branch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SHTIME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24,308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18,586</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802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33.0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Service point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MAMUSH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5,607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4,206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39.1</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Agent / partner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NOVOBERDE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4,493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3,426</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122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27.2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Digital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JUNIK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3,943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3,266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Digital only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KLLOKOT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3,041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2,409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75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24.7</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Digital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PARTESH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3,240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2,762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25.9</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Digital only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ZVECAN</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2,867</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2,490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134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46.7</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18"/>
                <w:szCs w:val="18"/>
              </w:rPr>
              <w:t xml:space="preserve">Agent / partner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RANILLUG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2,481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2,078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Digital only</w:t>
            </w:r>
          </w:p>
        </w:tc>
      </w:tr>
    </w:tbl>
    <w:p>
      <w:pPr>
        <w:spacing w:after="80"/>
      </w:pPr>
    </w:p>
    <w:p>
      <w:pPr>
        <w:pStyle w:val="Heading3"/>
        <w:spacing w:after="120" w:before="200"/>
      </w:pPr>
      <w:r>
        <w:rPr>
          <w:rFonts w:ascii="Arial" w:cs="Arial" w:eastAsia="Arial" w:hAnsi="Arial"/>
          <w:b/>
          <w:bCs/>
          <w:color w:val="404040"/>
          <w:sz w:val="22"/>
          <w:szCs w:val="22"/>
        </w:rPr>
        <w:t xml:space="preserve">Assumptions for Dragash Entry</w:t>
      </w:r>
    </w:p>
    <w:p>
      <w:pPr>
        <w:spacing w:after="120"/>
      </w:pPr>
      <w:r>
        <w:rPr>
          <w:rFonts w:ascii="Arial" w:cs="Arial" w:eastAsia="Arial" w:hAnsi="Arial"/>
          <w:sz w:val="20"/>
          <w:szCs w:val="20"/>
        </w:rPr>
        <w:t xml:space="preserve">• Light-format branch: 2-3 staff, limited product set (CA, SA, consumer loans, POS)</w:t>
      </w:r>
    </w:p>
    <w:p>
      <w:pPr>
        <w:spacing w:after="120"/>
      </w:pPr>
      <w:r>
        <w:rPr>
          <w:rFonts w:ascii="Arial" w:cs="Arial" w:eastAsia="Arial" w:hAnsi="Arial"/>
          <w:sz w:val="20"/>
          <w:szCs w:val="20"/>
        </w:rPr>
        <w:t xml:space="preserve">• Target: 2,000 PI clients within 24 months (8.5% penetration of Pop&gt;15)</w:t>
      </w:r>
    </w:p>
    <w:p>
      <w:pPr>
        <w:spacing w:after="120"/>
      </w:pPr>
      <w:r>
        <w:rPr>
          <w:rFonts w:ascii="Arial" w:cs="Arial" w:eastAsia="Arial" w:hAnsi="Arial"/>
          <w:sz w:val="20"/>
          <w:szCs w:val="20"/>
        </w:rPr>
        <w:t xml:space="preserve">• Target: 50 business clients within 24 months</w:t>
      </w:r>
    </w:p>
    <w:p>
      <w:pPr>
        <w:spacing w:after="120"/>
      </w:pPr>
      <w:r>
        <w:rPr>
          <w:rFonts w:ascii="Arial" w:cs="Arial" w:eastAsia="Arial" w:hAnsi="Arial"/>
          <w:sz w:val="20"/>
          <w:szCs w:val="20"/>
        </w:rPr>
        <w:t xml:space="preserve">• Investment: EUR 150K-250K for premises, fit-out, and initial operating costs</w:t>
      </w:r>
    </w:p>
    <w:p>
      <w:pPr>
        <w:spacing w:after="120"/>
      </w:pPr>
      <w:r>
        <w:rPr>
          <w:rFonts w:ascii="Arial" w:cs="Arial" w:eastAsia="Arial" w:hAnsi="Arial"/>
          <w:sz w:val="20"/>
          <w:szCs w:val="20"/>
        </w:rPr>
        <w:t xml:space="preserve">• Break-even: 18-24 months based on comparable branch economics</w:t>
      </w:r>
    </w:p>
    <w:p>
      <w:pPr>
        <w:pStyle w:val="Heading3"/>
        <w:spacing w:after="120" w:before="200"/>
      </w:pPr>
      <w:r>
        <w:rPr>
          <w:rFonts w:ascii="Arial" w:cs="Arial" w:eastAsia="Arial" w:hAnsi="Arial"/>
          <w:b/>
          <w:bCs/>
          <w:color w:val="404040"/>
          <w:sz w:val="22"/>
          <w:szCs w:val="22"/>
        </w:rPr>
        <w:t xml:space="preserve">KPI Impact</w:t>
      </w:r>
    </w:p>
    <w:p>
      <w:pPr>
        <w:spacing w:after="120"/>
      </w:pPr>
      <w:r>
        <w:rPr>
          <w:rFonts w:ascii="Arial" w:cs="Arial" w:eastAsia="Arial" w:hAnsi="Arial"/>
          <w:sz w:val="20"/>
          <w:szCs w:val="20"/>
        </w:rPr>
        <w:t xml:space="preserve">• New client acquisition: +2,000-3,000 PI clients across Dragash and Shtime</w:t>
      </w:r>
    </w:p>
    <w:p>
      <w:pPr>
        <w:spacing w:after="120"/>
      </w:pPr>
      <w:r>
        <w:rPr>
          <w:rFonts w:ascii="Arial" w:cs="Arial" w:eastAsia="Arial" w:hAnsi="Arial"/>
          <w:sz w:val="20"/>
          <w:szCs w:val="20"/>
        </w:rPr>
        <w:t xml:space="preserve">• New business relationships: +70-100 business clients</w:t>
      </w:r>
    </w:p>
    <w:p>
      <w:pPr>
        <w:spacing w:after="120"/>
      </w:pPr>
      <w:r>
        <w:rPr>
          <w:rFonts w:ascii="Arial" w:cs="Arial" w:eastAsia="Arial" w:hAnsi="Arial"/>
          <w:sz w:val="20"/>
          <w:szCs w:val="20"/>
        </w:rPr>
        <w:t xml:space="preserve">• Network coverage: From 29 to 31 branches (7% expansion)</w:t>
      </w:r>
    </w:p>
    <w:p>
      <w:pPr>
        <w:spacing w:after="120"/>
      </w:pPr>
      <w:r>
        <w:rPr>
          <w:rFonts w:ascii="Arial" w:cs="Arial" w:eastAsia="Arial" w:hAnsi="Arial"/>
          <w:sz w:val="20"/>
          <w:szCs w:val="20"/>
        </w:rPr>
        <w:t xml:space="preserve">• PI penetration lift: +0.2-0.3pp at network level</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Commission site surveys for Dragash and Shtime. Assess competitor presence. Validate investment case with EUR-based branch economics from existing comparable branches.</w:t>
      </w:r>
    </w:p>
    <w:p>
      <w:pPr>
        <w:spacing w:after="80"/>
      </w:pPr>
    </w:p>
    <w:p>
      <w:r>
        <w:br w:type="page"/>
      </w:r>
    </w:p>
    <w:p>
      <w:pPr>
        <w:pStyle w:val="Heading2"/>
        <w:spacing w:after="160" w:before="280"/>
      </w:pPr>
      <w:r>
        <w:rPr>
          <w:rFonts w:ascii="Arial" w:cs="Arial" w:eastAsia="Arial" w:hAnsi="Arial"/>
          <w:b/>
          <w:bCs/>
          <w:color w:val="2E75B6"/>
          <w:sz w:val="26"/>
          <w:szCs w:val="26"/>
        </w:rPr>
        <w:t xml:space="preserve">Scenario 6: Consolidation / Capacity Reduction in Structurally Constrained Markets</w:t>
      </w:r>
    </w:p>
    <w:p>
      <w:pPr>
        <w:pStyle w:val="Heading3"/>
        <w:spacing w:after="120" w:before="200"/>
      </w:pPr>
      <w:r>
        <w:rPr>
          <w:rFonts w:ascii="Arial" w:cs="Arial" w:eastAsia="Arial" w:hAnsi="Arial"/>
          <w:b/>
          <w:bCs/>
          <w:color w:val="404040"/>
          <w:sz w:val="22"/>
          <w:szCs w:val="22"/>
        </w:rPr>
        <w:t xml:space="preserve">Strategic Rationale</w:t>
      </w:r>
    </w:p>
    <w:p>
      <w:pPr>
        <w:spacing w:after="120"/>
      </w:pPr>
      <w:r>
        <w:rPr>
          <w:rFonts w:ascii="Arial" w:cs="Arial" w:eastAsia="Arial" w:hAnsi="Arial"/>
          <w:sz w:val="20"/>
          <w:szCs w:val="20"/>
        </w:rPr>
        <w:t xml:space="preserve">Not all branches can or should grow. Some operate in structurally constrained markets where population is declining, economic activity is limited, or the branch has already captured most of the addressable market. For these branches, the question is not growth but efficient operation and appropriate format.</w:t>
      </w:r>
    </w:p>
    <w:p>
      <w:pPr>
        <w:pStyle w:val="Heading3"/>
        <w:spacing w:after="120" w:before="200"/>
      </w:pPr>
      <w:r>
        <w:rPr>
          <w:rFonts w:ascii="Arial" w:cs="Arial" w:eastAsia="Arial" w:hAnsi="Arial"/>
          <w:b/>
          <w:bCs/>
          <w:color w:val="404040"/>
          <w:sz w:val="22"/>
          <w:szCs w:val="22"/>
        </w:rPr>
        <w:t xml:space="preserve">Branches Under Review</w:t>
      </w:r>
    </w:p>
    <w:p>
      <w:pPr>
        <w:spacing w:after="120"/>
      </w:pPr>
      <w:r>
        <w:rPr>
          <w:rFonts w:ascii="Arial" w:cs="Arial" w:eastAsia="Arial" w:hAnsi="Arial"/>
          <w:sz w:val="20"/>
          <w:szCs w:val="20"/>
        </w:rPr>
        <w:t xml:space="preserve">• Zubin Potok (pop 3,385, 184 PI clients): Market is structurally tiny. 92% business digital adoption suggests most transactions can move online.</w:t>
      </w:r>
    </w:p>
    <w:p>
      <w:pPr>
        <w:spacing w:after="120"/>
      </w:pPr>
      <w:r>
        <w:rPr>
          <w:rFonts w:ascii="Arial" w:cs="Arial" w:eastAsia="Arial" w:hAnsi="Arial"/>
          <w:sz w:val="20"/>
          <w:szCs w:val="20"/>
        </w:rPr>
        <w:t xml:space="preserve">• Leposaviq (pop 9,485, 389 PI clients): Nascent entry with 4.6% penetration. Growth is strong (+101.6%) but from a very small base. Question: Is the growth trajectory sufficient to justify full branch costs?</w:t>
      </w:r>
    </w:p>
    <w:p>
      <w:pPr>
        <w:spacing w:after="120"/>
      </w:pPr>
      <w:r>
        <w:rPr>
          <w:rFonts w:ascii="Arial" w:cs="Arial" w:eastAsia="Arial" w:hAnsi="Arial"/>
          <w:sz w:val="20"/>
          <w:szCs w:val="20"/>
        </w:rPr>
        <w:t xml:space="preserve">• Shterpc (pop 10,771, 2,976 PI clients): Already at 33% penetration. Market is largely captured. Further growth limited.</w:t>
      </w:r>
    </w:p>
    <w:p>
      <w:pPr>
        <w:spacing w:after="120"/>
      </w:pPr>
      <w:r>
        <w:rPr>
          <w:rFonts w:ascii="Arial" w:cs="Arial" w:eastAsia="Arial" w:hAnsi="Arial"/>
          <w:sz w:val="20"/>
          <w:szCs w:val="20"/>
        </w:rPr>
        <w:t xml:space="preserve">• Gracanice (pop 18,486, 3,691 PI clients): 24.9% penetration with 86% business digital. Product depth is minimal (only 15 mortgages, 2 CC). Branch may be serving primarily as a cash handling point.</w:t>
      </w:r>
    </w:p>
    <w:p>
      <w:pPr>
        <w:pStyle w:val="Heading3"/>
        <w:spacing w:after="120" w:before="200"/>
      </w:pPr>
      <w:r>
        <w:rPr>
          <w:rFonts w:ascii="Arial" w:cs="Arial" w:eastAsia="Arial" w:hAnsi="Arial"/>
          <w:b/>
          <w:bCs/>
          <w:color w:val="404040"/>
          <w:sz w:val="22"/>
          <w:szCs w:val="22"/>
        </w:rPr>
        <w:t xml:space="preserve">Recommended Actions</w:t>
      </w:r>
    </w:p>
    <w:p>
      <w:pPr>
        <w:spacing w:after="120"/>
      </w:pPr>
      <w:r>
        <w:rPr>
          <w:rFonts w:ascii="Arial" w:cs="Arial" w:eastAsia="Arial" w:hAnsi="Arial"/>
          <w:sz w:val="20"/>
          <w:szCs w:val="20"/>
        </w:rPr>
        <w:t xml:space="preserve">• Zubin Potok: Convert to scheduled service point (2 days/week) or agent banking model</w:t>
      </w:r>
    </w:p>
    <w:p>
      <w:pPr>
        <w:spacing w:after="120"/>
      </w:pPr>
      <w:r>
        <w:rPr>
          <w:rFonts w:ascii="Arial" w:cs="Arial" w:eastAsia="Arial" w:hAnsi="Arial"/>
          <w:sz w:val="20"/>
          <w:szCs w:val="20"/>
        </w:rPr>
        <w:t xml:space="preserve">• Leposaviq: Maintain current format for 12 months to evaluate growth trajectory, then reassess</w:t>
      </w:r>
    </w:p>
    <w:p>
      <w:pPr>
        <w:spacing w:after="120"/>
      </w:pPr>
      <w:r>
        <w:rPr>
          <w:rFonts w:ascii="Arial" w:cs="Arial" w:eastAsia="Arial" w:hAnsi="Arial"/>
          <w:sz w:val="20"/>
          <w:szCs w:val="20"/>
        </w:rPr>
        <w:t xml:space="preserve">• Shterpc: Reduce to appointment-based advisory with self-service for transactions</w:t>
      </w:r>
    </w:p>
    <w:p>
      <w:pPr>
        <w:spacing w:after="120"/>
      </w:pPr>
      <w:r>
        <w:rPr>
          <w:rFonts w:ascii="Arial" w:cs="Arial" w:eastAsia="Arial" w:hAnsi="Arial"/>
          <w:sz w:val="20"/>
          <w:szCs w:val="20"/>
        </w:rPr>
        <w:t xml:space="preserve">• Gracanice: Pivot to business advisory center, reduce retail staff, focus on deepening product penetration for existing clients rather than client acquisition</w:t>
      </w:r>
    </w:p>
    <w:p>
      <w:pPr>
        <w:pStyle w:val="Heading3"/>
        <w:spacing w:after="120" w:before="200"/>
      </w:pPr>
      <w:r>
        <w:rPr>
          <w:rFonts w:ascii="Arial" w:cs="Arial" w:eastAsia="Arial" w:hAnsi="Arial"/>
          <w:b/>
          <w:bCs/>
          <w:color w:val="404040"/>
          <w:sz w:val="22"/>
          <w:szCs w:val="22"/>
        </w:rPr>
        <w:t xml:space="preserve">KPI Impact</w:t>
      </w:r>
    </w:p>
    <w:p>
      <w:pPr>
        <w:spacing w:after="120"/>
      </w:pPr>
      <w:r>
        <w:rPr>
          <w:rFonts w:ascii="Arial" w:cs="Arial" w:eastAsia="Arial" w:hAnsi="Arial"/>
          <w:sz w:val="20"/>
          <w:szCs w:val="20"/>
        </w:rPr>
        <w:t xml:space="preserve">• Cost reduction: EUR 100K-200K annually across the four branches (estimate)</w:t>
      </w:r>
    </w:p>
    <w:p>
      <w:pPr>
        <w:spacing w:after="120"/>
      </w:pPr>
      <w:r>
        <w:rPr>
          <w:rFonts w:ascii="Arial" w:cs="Arial" w:eastAsia="Arial" w:hAnsi="Arial"/>
          <w:sz w:val="20"/>
          <w:szCs w:val="20"/>
        </w:rPr>
        <w:t xml:space="preserve">• Staff freed: 4-6 FTE for redeployment to growth branches</w:t>
      </w:r>
    </w:p>
    <w:p>
      <w:pPr>
        <w:spacing w:after="120"/>
      </w:pPr>
      <w:r>
        <w:rPr>
          <w:rFonts w:ascii="Arial" w:cs="Arial" w:eastAsia="Arial" w:hAnsi="Arial"/>
          <w:sz w:val="20"/>
          <w:szCs w:val="20"/>
        </w:rPr>
        <w:t xml:space="preserve">• Client retention risk: &lt;3% attrition if digital channels are adequate</w:t>
      </w:r>
    </w:p>
    <w:p>
      <w:pPr>
        <w:spacing w:after="120"/>
      </w:pPr>
      <w:r>
        <w:rPr>
          <w:rFonts w:ascii="Arial" w:cs="Arial" w:eastAsia="Arial" w:hAnsi="Arial"/>
          <w:sz w:val="20"/>
          <w:szCs w:val="20"/>
        </w:rPr>
        <w:t xml:space="preserve">• No material penetration loss expected</w:t>
      </w:r>
    </w:p>
    <w:p>
      <w:pPr>
        <w:pStyle w:val="Heading3"/>
        <w:spacing w:after="120" w:before="200"/>
      </w:pPr>
      <w:r>
        <w:rPr>
          <w:rFonts w:ascii="Arial" w:cs="Arial" w:eastAsia="Arial" w:hAnsi="Arial"/>
          <w:b/>
          <w:bCs/>
          <w:color w:val="404040"/>
          <w:sz w:val="22"/>
          <w:szCs w:val="22"/>
        </w:rPr>
        <w:t xml:space="preserve">Management Decision Required</w:t>
      </w:r>
    </w:p>
    <w:p>
      <w:pPr>
        <w:spacing w:after="120"/>
      </w:pPr>
      <w:r>
        <w:rPr>
          <w:rFonts w:ascii="Arial" w:cs="Arial" w:eastAsia="Arial" w:hAnsi="Arial"/>
          <w:sz w:val="20"/>
          <w:szCs w:val="20"/>
        </w:rPr>
        <w:t xml:space="preserve">Obtain branch-level P&amp;L for these four branches to validate cost assumptions. Assess client transaction patterns (% digital vs. branch). Decide on pilot consolidation timeline.</w:t>
      </w:r>
    </w:p>
    <w:p>
      <w:pPr>
        <w:spacing w:after="80"/>
      </w:pPr>
    </w:p>
    <w:p>
      <w:r>
        <w:br w:type="page"/>
      </w:r>
    </w:p>
    <w:p>
      <w:pPr>
        <w:pStyle w:val="Heading1"/>
        <w:spacing w:after="200" w:before="360"/>
      </w:pPr>
      <w:r>
        <w:rPr>
          <w:rFonts w:ascii="Arial" w:cs="Arial" w:eastAsia="Arial" w:hAnsi="Arial"/>
          <w:b/>
          <w:bCs/>
          <w:color w:val="1F4E79"/>
          <w:sz w:val="32"/>
          <w:szCs w:val="32"/>
        </w:rPr>
        <w:t xml:space="preserve">PART B: DEEPER PERFORMANCE ANALYSIS</w:t>
      </w:r>
    </w:p>
    <w:p>
      <w:pPr>
        <w:spacing w:after="120"/>
      </w:pPr>
      <w:r>
        <w:rPr>
          <w:rFonts w:ascii="Arial" w:cs="Arial" w:eastAsia="Arial" w:hAnsi="Arial"/>
          <w:sz w:val="20"/>
          <w:szCs w:val="20"/>
        </w:rPr>
        <w:t xml:space="preserve">This section provides focused analysis on four categories of branches: underperformers with potential, high performers, structurally constrained branches, and expansion municipalities.</w:t>
      </w:r>
    </w:p>
    <w:p>
      <w:pPr>
        <w:spacing w:after="80"/>
      </w:pPr>
    </w:p>
    <w:p>
      <w:pPr>
        <w:pStyle w:val="Heading2"/>
        <w:spacing w:after="160" w:before="280"/>
      </w:pPr>
      <w:r>
        <w:rPr>
          <w:rFonts w:ascii="Arial" w:cs="Arial" w:eastAsia="Arial" w:hAnsi="Arial"/>
          <w:b/>
          <w:bCs/>
          <w:color w:val="2E75B6"/>
          <w:sz w:val="26"/>
          <w:szCs w:val="26"/>
        </w:rPr>
        <w:t xml:space="preserve">B1. Underperforming Branches with Hidden Potential</w:t>
      </w:r>
    </w:p>
    <w:p>
      <w:pPr>
        <w:spacing w:after="80"/>
      </w:pPr>
    </w:p>
    <w:p>
      <w:pPr>
        <w:pStyle w:val="Heading3"/>
        <w:spacing w:after="120" w:before="200"/>
      </w:pPr>
      <w:r>
        <w:rPr>
          <w:rFonts w:ascii="Arial" w:cs="Arial" w:eastAsia="Arial" w:hAnsi="Arial"/>
          <w:b/>
          <w:bCs/>
          <w:color w:val="404040"/>
          <w:sz w:val="22"/>
          <w:szCs w:val="22"/>
        </w:rPr>
        <w:t xml:space="preserve">PRIZREN — The Biggest Prize</w:t>
      </w:r>
    </w:p>
    <w:p>
      <w:pPr>
        <w:spacing w:after="120"/>
      </w:pPr>
      <w:r>
        <w:rPr>
          <w:rFonts w:ascii="Arial" w:cs="Arial" w:eastAsia="Arial" w:hAnsi="Arial"/>
          <w:b/>
          <w:bCs/>
          <w:sz w:val="20"/>
          <w:szCs w:val="20"/>
        </w:rPr>
        <w:t xml:space="preserve">Why Underperforming:</w:t>
      </w:r>
    </w:p>
    <w:p>
      <w:pPr>
        <w:spacing w:after="120"/>
      </w:pPr>
      <w:r>
        <w:rPr>
          <w:rFonts w:ascii="Arial" w:cs="Arial" w:eastAsia="Arial" w:hAnsi="Arial"/>
          <w:sz w:val="20"/>
          <w:szCs w:val="20"/>
        </w:rPr>
        <w:t xml:space="preserve">• [DATA] PI penetration 14.0% vs network average 19.2% — 6pp below average in Kosovo's second city</w:t>
      </w:r>
    </w:p>
    <w:p>
      <w:pPr>
        <w:spacing w:after="120"/>
      </w:pPr>
      <w:r>
        <w:rPr>
          <w:rFonts w:ascii="Arial" w:cs="Arial" w:eastAsia="Arial" w:hAnsi="Arial"/>
          <w:sz w:val="20"/>
          <w:szCs w:val="20"/>
        </w:rPr>
        <w:t xml:space="preserve">• [DATA] Business penetration 12.7% — only 905 out of 7,119 businesses banked</w:t>
      </w:r>
    </w:p>
    <w:p>
      <w:pPr>
        <w:spacing w:after="120"/>
      </w:pPr>
      <w:r>
        <w:rPr>
          <w:rFonts w:ascii="Arial" w:cs="Arial" w:eastAsia="Arial" w:hAnsi="Arial"/>
          <w:sz w:val="20"/>
          <w:szCs w:val="20"/>
        </w:rPr>
        <w:t xml:space="preserve">• [DATA] Business client decline: -40 clients YoY (-4.2%)</w:t>
      </w:r>
    </w:p>
    <w:p>
      <w:pPr>
        <w:spacing w:after="120"/>
      </w:pPr>
      <w:r>
        <w:rPr>
          <w:rFonts w:ascii="Arial" w:cs="Arial" w:eastAsia="Arial" w:hAnsi="Arial"/>
          <w:sz w:val="20"/>
          <w:szCs w:val="20"/>
        </w:rPr>
        <w:t xml:space="preserve">• [DATA] M-Banking adoption at 3.8% — among the lowest in the network</w:t>
      </w:r>
    </w:p>
    <w:p>
      <w:pPr>
        <w:spacing w:after="120"/>
      </w:pPr>
      <w:r>
        <w:rPr>
          <w:rFonts w:ascii="Arial" w:cs="Arial" w:eastAsia="Arial" w:hAnsi="Arial"/>
          <w:sz w:val="20"/>
          <w:szCs w:val="20"/>
        </w:rPr>
        <w:t xml:space="preserve">• [DATA] POS deployment weak: 156 terminals for 7,119 businesses (22 per 1,000 biz)</w:t>
      </w:r>
    </w:p>
    <w:p>
      <w:pPr>
        <w:spacing w:after="120"/>
      </w:pPr>
      <w:r>
        <w:rPr>
          <w:rFonts w:ascii="Arial" w:cs="Arial" w:eastAsia="Arial" w:hAnsi="Arial"/>
          <w:b/>
          <w:bCs/>
          <w:sz w:val="20"/>
          <w:szCs w:val="20"/>
        </w:rPr>
        <w:t xml:space="preserve">Root Cause Assessment [HYPOTHESIS]:</w:t>
      </w:r>
    </w:p>
    <w:p>
      <w:pPr>
        <w:spacing w:after="120"/>
      </w:pPr>
      <w:r>
        <w:rPr>
          <w:rFonts w:ascii="Arial" w:cs="Arial" w:eastAsia="Arial" w:hAnsi="Arial"/>
          <w:sz w:val="20"/>
          <w:szCs w:val="20"/>
        </w:rPr>
        <w:t xml:space="preserve">• Market-side: Prizren has strong competition from RBKO, BKT, and TEB which likely established early and deep</w:t>
      </w:r>
    </w:p>
    <w:p>
      <w:pPr>
        <w:spacing w:after="120"/>
      </w:pPr>
      <w:r>
        <w:rPr>
          <w:rFonts w:ascii="Arial" w:cs="Arial" w:eastAsia="Arial" w:hAnsi="Arial"/>
          <w:sz w:val="20"/>
          <w:szCs w:val="20"/>
        </w:rPr>
        <w:t xml:space="preserve">• Execution-side: Business client loss suggests reactive rather than proactive relationship management</w:t>
      </w:r>
    </w:p>
    <w:p>
      <w:pPr>
        <w:spacing w:after="120"/>
      </w:pPr>
      <w:r>
        <w:rPr>
          <w:rFonts w:ascii="Arial" w:cs="Arial" w:eastAsia="Arial" w:hAnsi="Arial"/>
          <w:sz w:val="20"/>
          <w:szCs w:val="20"/>
        </w:rPr>
        <w:t xml:space="preserve">• Format-side: Branch may be undersized or poorly located for a city of 147,000</w:t>
      </w:r>
    </w:p>
    <w:p>
      <w:pPr>
        <w:spacing w:after="120"/>
      </w:pPr>
      <w:r>
        <w:rPr>
          <w:rFonts w:ascii="Arial" w:cs="Arial" w:eastAsia="Arial" w:hAnsi="Arial"/>
          <w:sz w:val="20"/>
          <w:szCs w:val="20"/>
        </w:rPr>
        <w:t xml:space="preserve">• Product-side: Low CC penetration (0.4%) and limited POS suggest weak merchant acquiring</w:t>
      </w:r>
    </w:p>
    <w:p>
      <w:pPr>
        <w:spacing w:after="120"/>
      </w:pPr>
      <w:r>
        <w:rPr>
          <w:rFonts w:ascii="Arial" w:cs="Arial" w:eastAsia="Arial" w:hAnsi="Arial"/>
          <w:b/>
          <w:bCs/>
          <w:sz w:val="20"/>
          <w:szCs w:val="20"/>
        </w:rPr>
        <w:t xml:space="preserve">Concrete Interventions:</w:t>
      </w:r>
    </w:p>
    <w:p>
      <w:pPr>
        <w:spacing w:after="120"/>
      </w:pPr>
      <w:r>
        <w:rPr>
          <w:rFonts w:ascii="Arial" w:cs="Arial" w:eastAsia="Arial" w:hAnsi="Arial"/>
          <w:sz w:val="20"/>
          <w:szCs w:val="20"/>
        </w:rPr>
        <w:t xml:space="preserve">• 1. Deploy 2 dedicated Business RMs (one SME, one micro-business) within 60 days</w:t>
      </w:r>
    </w:p>
    <w:p>
      <w:pPr>
        <w:spacing w:after="120"/>
      </w:pPr>
      <w:r>
        <w:rPr>
          <w:rFonts w:ascii="Arial" w:cs="Arial" w:eastAsia="Arial" w:hAnsi="Arial"/>
          <w:sz w:val="20"/>
          <w:szCs w:val="20"/>
        </w:rPr>
        <w:t xml:space="preserve">• 2. Launch POS acquisition campaign: target +100 POS terminals in 6 months</w:t>
      </w:r>
    </w:p>
    <w:p>
      <w:pPr>
        <w:spacing w:after="120"/>
      </w:pPr>
      <w:r>
        <w:rPr>
          <w:rFonts w:ascii="Arial" w:cs="Arial" w:eastAsia="Arial" w:hAnsi="Arial"/>
          <w:sz w:val="20"/>
          <w:szCs w:val="20"/>
        </w:rPr>
        <w:t xml:space="preserve">• 3. Consumer lending push: target 12% consumer loan penetration (currently 8.6%)</w:t>
      </w:r>
    </w:p>
    <w:p>
      <w:pPr>
        <w:spacing w:after="120"/>
      </w:pPr>
      <w:r>
        <w:rPr>
          <w:rFonts w:ascii="Arial" w:cs="Arial" w:eastAsia="Arial" w:hAnsi="Arial"/>
          <w:sz w:val="20"/>
          <w:szCs w:val="20"/>
        </w:rPr>
        <w:t xml:space="preserve">• 4. M-Banking activation mandate at every touchpoint</w:t>
      </w:r>
    </w:p>
    <w:p>
      <w:pPr>
        <w:spacing w:after="120"/>
      </w:pPr>
      <w:r>
        <w:rPr>
          <w:rFonts w:ascii="Arial" w:cs="Arial" w:eastAsia="Arial" w:hAnsi="Arial"/>
          <w:sz w:val="20"/>
          <w:szCs w:val="20"/>
        </w:rPr>
        <w:t xml:space="preserve">• 5. Assess branch location and format adequacy; consider satellite branch in commercial district</w:t>
      </w:r>
    </w:p>
    <w:p>
      <w:pPr>
        <w:spacing w:after="120"/>
      </w:pPr>
      <w:r>
        <w:rPr>
          <w:rFonts w:ascii="Arial" w:cs="Arial" w:eastAsia="Arial" w:hAnsi="Arial"/>
          <w:b/>
          <w:bCs/>
          <w:sz w:val="20"/>
          <w:szCs w:val="20"/>
        </w:rPr>
        <w:t xml:space="preserve">12-Month Targets:</w:t>
      </w:r>
    </w:p>
    <w:p>
      <w:pPr>
        <w:spacing w:after="120"/>
      </w:pPr>
      <w:r>
        <w:rPr>
          <w:rFonts w:ascii="Arial" w:cs="Arial" w:eastAsia="Arial" w:hAnsi="Arial"/>
          <w:sz w:val="20"/>
          <w:szCs w:val="20"/>
        </w:rPr>
        <w:t xml:space="preserve">• PI Clients: 16,152 → 19,000 (+2,848, +17.6%)</w:t>
      </w:r>
    </w:p>
    <w:p>
      <w:pPr>
        <w:spacing w:after="120"/>
      </w:pPr>
      <w:r>
        <w:rPr>
          <w:rFonts w:ascii="Arial" w:cs="Arial" w:eastAsia="Arial" w:hAnsi="Arial"/>
          <w:sz w:val="20"/>
          <w:szCs w:val="20"/>
        </w:rPr>
        <w:t xml:space="preserve">• Business Clients: 905 → 1,050 (+145, +16.0%)</w:t>
      </w:r>
    </w:p>
    <w:p>
      <w:pPr>
        <w:spacing w:after="120"/>
      </w:pPr>
      <w:r>
        <w:rPr>
          <w:rFonts w:ascii="Arial" w:cs="Arial" w:eastAsia="Arial" w:hAnsi="Arial"/>
          <w:sz w:val="20"/>
          <w:szCs w:val="20"/>
        </w:rPr>
        <w:t xml:space="preserve">• POS: 156 → 260 (+104)</w:t>
      </w:r>
    </w:p>
    <w:p>
      <w:pPr>
        <w:spacing w:after="120"/>
      </w:pPr>
      <w:r>
        <w:rPr>
          <w:rFonts w:ascii="Arial" w:cs="Arial" w:eastAsia="Arial" w:hAnsi="Arial"/>
          <w:sz w:val="20"/>
          <w:szCs w:val="20"/>
        </w:rPr>
        <w:t xml:space="preserve">• M-Banking: 3.8% → 5.5%</w:t>
      </w:r>
    </w:p>
    <w:p>
      <w:pPr>
        <w:spacing w:after="120"/>
      </w:pPr>
      <w:r>
        <w:rPr>
          <w:rFonts w:ascii="Arial" w:cs="Arial" w:eastAsia="Arial" w:hAnsi="Arial"/>
          <w:b/>
          <w:bCs/>
          <w:sz w:val="20"/>
          <w:szCs w:val="20"/>
        </w:rPr>
        <w:t xml:space="preserve">24-Month Targets:</w:t>
      </w:r>
    </w:p>
    <w:p>
      <w:pPr>
        <w:spacing w:after="120"/>
      </w:pPr>
      <w:r>
        <w:rPr>
          <w:rFonts w:ascii="Arial" w:cs="Arial" w:eastAsia="Arial" w:hAnsi="Arial"/>
          <w:sz w:val="20"/>
          <w:szCs w:val="20"/>
        </w:rPr>
        <w:t xml:space="preserve">• PI Penetration: 14.0% → 20.0% (+6,932 clients)</w:t>
      </w:r>
    </w:p>
    <w:p>
      <w:pPr>
        <w:spacing w:after="120"/>
      </w:pPr>
      <w:r>
        <w:rPr>
          <w:rFonts w:ascii="Arial" w:cs="Arial" w:eastAsia="Arial" w:hAnsi="Arial"/>
          <w:sz w:val="20"/>
          <w:szCs w:val="20"/>
        </w:rPr>
        <w:t xml:space="preserve">• Business Penetration: 12.7% → 16.0% (+235 clients)</w:t>
      </w:r>
    </w:p>
    <w:p>
      <w:pPr>
        <w:spacing w:after="80"/>
      </w:pPr>
    </w:p>
    <w:p>
      <w:pPr>
        <w:pStyle w:val="Heading3"/>
        <w:spacing w:after="120" w:before="200"/>
      </w:pPr>
      <w:r>
        <w:rPr>
          <w:rFonts w:ascii="Arial" w:cs="Arial" w:eastAsia="Arial" w:hAnsi="Arial"/>
          <w:b/>
          <w:bCs/>
          <w:color w:val="404040"/>
          <w:sz w:val="22"/>
          <w:szCs w:val="22"/>
        </w:rPr>
        <w:t xml:space="preserve">GJAKOVE — The Emergency</w:t>
      </w:r>
    </w:p>
    <w:p>
      <w:pPr>
        <w:spacing w:after="120"/>
      </w:pPr>
      <w:r>
        <w:rPr>
          <w:rFonts w:ascii="Arial" w:cs="Arial" w:eastAsia="Arial" w:hAnsi="Arial"/>
          <w:b/>
          <w:bCs/>
          <w:sz w:val="20"/>
          <w:szCs w:val="20"/>
        </w:rPr>
        <w:t xml:space="preserve">Why Underperforming:</w:t>
      </w:r>
    </w:p>
    <w:p>
      <w:pPr>
        <w:spacing w:after="120"/>
      </w:pPr>
      <w:r>
        <w:rPr>
          <w:rFonts w:ascii="Arial" w:cs="Arial" w:eastAsia="Arial" w:hAnsi="Arial"/>
          <w:sz w:val="20"/>
          <w:szCs w:val="20"/>
        </w:rPr>
        <w:t xml:space="preserve">• [DATA] Business client loss of -70 clients (-14.0% YoY) — worst in the network by far</w:t>
      </w:r>
    </w:p>
    <w:p>
      <w:pPr>
        <w:spacing w:after="120"/>
      </w:pPr>
      <w:r>
        <w:rPr>
          <w:rFonts w:ascii="Arial" w:cs="Arial" w:eastAsia="Arial" w:hAnsi="Arial"/>
          <w:sz w:val="20"/>
          <w:szCs w:val="20"/>
        </w:rPr>
        <w:t xml:space="preserve">• [DATA] PI growth near zero: +10 clients (+0.1% YoY) — worst PI growth among established branches</w:t>
      </w:r>
    </w:p>
    <w:p>
      <w:pPr>
        <w:spacing w:after="120"/>
      </w:pPr>
      <w:r>
        <w:rPr>
          <w:rFonts w:ascii="Arial" w:cs="Arial" w:eastAsia="Arial" w:hAnsi="Arial"/>
          <w:sz w:val="20"/>
          <w:szCs w:val="20"/>
        </w:rPr>
        <w:t xml:space="preserve">• [DATA] PI penetration 14.0% in a city of 78,699 people</w:t>
      </w:r>
    </w:p>
    <w:p>
      <w:pPr>
        <w:spacing w:after="120"/>
      </w:pPr>
      <w:r>
        <w:rPr>
          <w:rFonts w:ascii="Arial" w:cs="Arial" w:eastAsia="Arial" w:hAnsi="Arial"/>
          <w:sz w:val="20"/>
          <w:szCs w:val="20"/>
        </w:rPr>
        <w:t xml:space="preserve">• [DATA] POS deployment: only 60 terminals for 4,005 businesses (15 per 1,000 — lowest among major branches)</w:t>
      </w:r>
    </w:p>
    <w:p>
      <w:pPr>
        <w:spacing w:after="120"/>
      </w:pPr>
      <w:r>
        <w:rPr>
          <w:rFonts w:ascii="Arial" w:cs="Arial" w:eastAsia="Arial" w:hAnsi="Arial"/>
          <w:sz w:val="20"/>
          <w:szCs w:val="20"/>
        </w:rPr>
        <w:t xml:space="preserve">• [DATA] M-Banking at 3.3% — near-bottom of network</w:t>
      </w:r>
    </w:p>
    <w:p>
      <w:pPr>
        <w:spacing w:after="120"/>
      </w:pPr>
      <w:r>
        <w:rPr>
          <w:rFonts w:ascii="Arial" w:cs="Arial" w:eastAsia="Arial" w:hAnsi="Arial"/>
          <w:b/>
          <w:bCs/>
          <w:sz w:val="20"/>
          <w:szCs w:val="20"/>
        </w:rPr>
        <w:t xml:space="preserve">Root Cause Assessment [HYPOTHESIS]:</w:t>
      </w:r>
    </w:p>
    <w:p>
      <w:pPr>
        <w:spacing w:after="120"/>
      </w:pPr>
      <w:r>
        <w:rPr>
          <w:rFonts w:ascii="Arial" w:cs="Arial" w:eastAsia="Arial" w:hAnsi="Arial"/>
          <w:sz w:val="20"/>
          <w:szCs w:val="20"/>
        </w:rPr>
        <w:t xml:space="preserve">• The scale of business client loss (-14%) suggests a specific trigger, not gradual decline</w:t>
      </w:r>
    </w:p>
    <w:p>
      <w:pPr>
        <w:spacing w:after="120"/>
      </w:pPr>
      <w:r>
        <w:rPr>
          <w:rFonts w:ascii="Arial" w:cs="Arial" w:eastAsia="Arial" w:hAnsi="Arial"/>
          <w:sz w:val="20"/>
          <w:szCs w:val="20"/>
        </w:rPr>
        <w:t xml:space="preserve">• Possible causes: key RM departure, competitor poaching campaign, service quality failure, pricing issue, or loss of a large employer/anchor client that triggered cascading departures</w:t>
      </w:r>
    </w:p>
    <w:p>
      <w:pPr>
        <w:spacing w:after="120"/>
      </w:pPr>
      <w:r>
        <w:rPr>
          <w:rFonts w:ascii="Arial" w:cs="Arial" w:eastAsia="Arial" w:hAnsi="Arial"/>
          <w:sz w:val="20"/>
          <w:szCs w:val="20"/>
        </w:rPr>
        <w:t xml:space="preserve">• PI growth stagnation despite having 4,005 businesses suggests the branch is not cross-selling to business owners' personal banking needs</w:t>
      </w:r>
    </w:p>
    <w:p>
      <w:pPr>
        <w:spacing w:after="120"/>
      </w:pPr>
      <w:r>
        <w:rPr>
          <w:rFonts w:ascii="Arial" w:cs="Arial" w:eastAsia="Arial" w:hAnsi="Arial"/>
          <w:b/>
          <w:bCs/>
          <w:sz w:val="20"/>
          <w:szCs w:val="20"/>
        </w:rPr>
        <w:t xml:space="preserve">Concrete Interventions:</w:t>
      </w:r>
    </w:p>
    <w:p>
      <w:pPr>
        <w:spacing w:after="120"/>
      </w:pPr>
      <w:r>
        <w:rPr>
          <w:rFonts w:ascii="Arial" w:cs="Arial" w:eastAsia="Arial" w:hAnsi="Arial"/>
          <w:sz w:val="20"/>
          <w:szCs w:val="20"/>
        </w:rPr>
        <w:t xml:space="preserve">• 1. IMMEDIATE: Dispatch audit/review team within 2 weeks to identify root cause</w:t>
      </w:r>
    </w:p>
    <w:p>
      <w:pPr>
        <w:spacing w:after="120"/>
      </w:pPr>
      <w:r>
        <w:rPr>
          <w:rFonts w:ascii="Arial" w:cs="Arial" w:eastAsia="Arial" w:hAnsi="Arial"/>
          <w:sz w:val="20"/>
          <w:szCs w:val="20"/>
        </w:rPr>
        <w:t xml:space="preserve">• 2. Contact top 20 lost business clients to understand departure reasons</w:t>
      </w:r>
    </w:p>
    <w:p>
      <w:pPr>
        <w:spacing w:after="120"/>
      </w:pPr>
      <w:r>
        <w:rPr>
          <w:rFonts w:ascii="Arial" w:cs="Arial" w:eastAsia="Arial" w:hAnsi="Arial"/>
          <w:sz w:val="20"/>
          <w:szCs w:val="20"/>
        </w:rPr>
        <w:t xml:space="preserve">• 3. Deploy experienced Business RM (transfer from strong branch if needed)</w:t>
      </w:r>
    </w:p>
    <w:p>
      <w:pPr>
        <w:spacing w:after="120"/>
      </w:pPr>
      <w:r>
        <w:rPr>
          <w:rFonts w:ascii="Arial" w:cs="Arial" w:eastAsia="Arial" w:hAnsi="Arial"/>
          <w:sz w:val="20"/>
          <w:szCs w:val="20"/>
        </w:rPr>
        <w:t xml:space="preserve">• 4. POS emergency deployment: target +50 POS in 3 months</w:t>
      </w:r>
    </w:p>
    <w:p>
      <w:pPr>
        <w:spacing w:after="120"/>
      </w:pPr>
      <w:r>
        <w:rPr>
          <w:rFonts w:ascii="Arial" w:cs="Arial" w:eastAsia="Arial" w:hAnsi="Arial"/>
          <w:sz w:val="20"/>
          <w:szCs w:val="20"/>
        </w:rPr>
        <w:t xml:space="preserve">• 5. Review branch manager performance and consider leadership change if warranted</w:t>
      </w:r>
    </w:p>
    <w:p>
      <w:pPr>
        <w:spacing w:after="120"/>
      </w:pPr>
      <w:r>
        <w:rPr>
          <w:rFonts w:ascii="Arial" w:cs="Arial" w:eastAsia="Arial" w:hAnsi="Arial"/>
          <w:sz w:val="20"/>
          <w:szCs w:val="20"/>
        </w:rPr>
        <w:t xml:space="preserve">• 6. Launch retention program for remaining 431 business clients</w:t>
      </w:r>
    </w:p>
    <w:p>
      <w:pPr>
        <w:spacing w:after="120"/>
      </w:pPr>
      <w:r>
        <w:rPr>
          <w:rFonts w:ascii="Arial" w:cs="Arial" w:eastAsia="Arial" w:hAnsi="Arial"/>
          <w:b/>
          <w:bCs/>
          <w:sz w:val="20"/>
          <w:szCs w:val="20"/>
        </w:rPr>
        <w:t xml:space="preserve">12-Month Targets:</w:t>
      </w:r>
    </w:p>
    <w:p>
      <w:pPr>
        <w:spacing w:after="120"/>
      </w:pPr>
      <w:r>
        <w:rPr>
          <w:rFonts w:ascii="Arial" w:cs="Arial" w:eastAsia="Arial" w:hAnsi="Arial"/>
          <w:sz w:val="20"/>
          <w:szCs w:val="20"/>
        </w:rPr>
        <w:t xml:space="preserve">• PI Clients: 8,812 → 10,500 (+1,688, +19.2%)</w:t>
      </w:r>
    </w:p>
    <w:p>
      <w:pPr>
        <w:spacing w:after="120"/>
      </w:pPr>
      <w:r>
        <w:rPr>
          <w:rFonts w:ascii="Arial" w:cs="Arial" w:eastAsia="Arial" w:hAnsi="Arial"/>
          <w:sz w:val="20"/>
          <w:szCs w:val="20"/>
        </w:rPr>
        <w:t xml:space="preserve">• Business Clients: 431 → 500 (+69, stop the bleeding and rebuild)</w:t>
      </w:r>
    </w:p>
    <w:p>
      <w:pPr>
        <w:spacing w:after="120"/>
      </w:pPr>
      <w:r>
        <w:rPr>
          <w:rFonts w:ascii="Arial" w:cs="Arial" w:eastAsia="Arial" w:hAnsi="Arial"/>
          <w:sz w:val="20"/>
          <w:szCs w:val="20"/>
        </w:rPr>
        <w:t xml:space="preserve">• POS: 60 → 150 (+90)</w:t>
      </w:r>
    </w:p>
    <w:p>
      <w:pPr>
        <w:spacing w:after="80"/>
      </w:pPr>
    </w:p>
    <w:p>
      <w:pPr>
        <w:pStyle w:val="Heading3"/>
        <w:spacing w:after="120" w:before="200"/>
      </w:pPr>
      <w:r>
        <w:rPr>
          <w:rFonts w:ascii="Arial" w:cs="Arial" w:eastAsia="Arial" w:hAnsi="Arial"/>
          <w:b/>
          <w:bCs/>
          <w:color w:val="404040"/>
          <w:sz w:val="22"/>
          <w:szCs w:val="22"/>
        </w:rPr>
        <w:t xml:space="preserve">FERIZAJ, GJILAN, FUSHE KOSOVE — The Growth Engines Needing Fuel</w:t>
      </w:r>
    </w:p>
    <w:p>
      <w:pPr>
        <w:spacing w:after="120"/>
      </w:pPr>
      <w:r>
        <w:rPr>
          <w:rFonts w:ascii="Arial" w:cs="Arial" w:eastAsia="Arial" w:hAnsi="Arial"/>
          <w:sz w:val="20"/>
          <w:szCs w:val="20"/>
        </w:rPr>
        <w:t xml:space="preserve">These three branches share a common profile: mid-sized cities with significant population and business bases, moderate penetration below network average, and positive but underwhelming growth. They represent the middle tier of NLB's network — not in crisis, but performing well below potential.</w:t>
      </w:r>
    </w:p>
    <w:p>
      <w:pPr>
        <w:spacing w:after="120"/>
      </w:pPr>
      <w:r>
        <w:rPr>
          <w:rFonts w:ascii="Arial" w:cs="Arial" w:eastAsia="Arial" w:hAnsi="Arial"/>
          <w:b/>
          <w:bCs/>
          <w:sz w:val="20"/>
          <w:szCs w:val="20"/>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Branch</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Pop &gt;15</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Pen</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Biz Pen</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 Growth</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Consumer%</w:t>
            </w:r>
          </w:p>
        </w:tc>
        <w:tc>
          <w:tcPr>
            <w:tcW w:type="dxa" w:w="1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POS/1kBiz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FERIZAJ</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84,228</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right"/>
            </w:pPr>
            <w:r>
              <w:rPr>
                <w:rFonts w:ascii="Arial" w:cs="Arial" w:eastAsia="Arial" w:hAnsi="Arial"/>
                <w:sz w:val="18"/>
                <w:szCs w:val="18"/>
              </w:rPr>
              <w:t xml:space="preserve">16.1%</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11.6%</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16.8</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GJILAN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66,517</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right"/>
            </w:pPr>
            <w:r>
              <w:rPr>
                <w:rFonts w:ascii="Arial" w:cs="Arial" w:eastAsia="Arial" w:hAnsi="Arial"/>
                <w:sz w:val="18"/>
                <w:szCs w:val="18"/>
              </w:rPr>
              <w:t xml:space="preserve">17.3%</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10.6%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+3.1%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right"/>
            </w:pPr>
            <w:r>
              <w:rPr>
                <w:rFonts w:ascii="Arial" w:cs="Arial" w:eastAsia="Arial" w:hAnsi="Arial"/>
                <w:sz w:val="18"/>
                <w:szCs w:val="18"/>
              </w:rPr>
              <w:t xml:space="preserve">12.5%</w:t>
            </w:r>
          </w:p>
        </w:tc>
        <w:tc>
          <w:tcPr>
            <w:tcW w:type="dxa" w:w="13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26.6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FUSHE KOSOVE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47,439</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right"/>
            </w:pPr>
            <w:r>
              <w:rPr>
                <w:rFonts w:ascii="Arial" w:cs="Arial" w:eastAsia="Arial" w:hAnsi="Arial"/>
                <w:sz w:val="18"/>
                <w:szCs w:val="18"/>
              </w:rPr>
              <w:t xml:space="preserve">13.3%</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14.5%</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right"/>
            </w:pPr>
            <w:r>
              <w:rPr>
                <w:rFonts w:ascii="Arial" w:cs="Arial" w:eastAsia="Arial" w:hAnsi="Arial"/>
                <w:sz w:val="18"/>
                <w:szCs w:val="18"/>
              </w:rPr>
              <w:t xml:space="preserve">74.1</w:t>
            </w:r>
          </w:p>
        </w:tc>
      </w:tr>
    </w:tbl>
    <w:p>
      <w:pPr>
        <w:spacing w:after="80"/>
      </w:pPr>
    </w:p>
    <w:p>
      <w:pPr>
        <w:spacing w:after="120"/>
      </w:pPr>
      <w:r>
        <w:rPr>
          <w:rFonts w:ascii="Arial" w:cs="Arial" w:eastAsia="Arial" w:hAnsi="Arial"/>
          <w:b/>
          <w:bCs/>
          <w:sz w:val="20"/>
          <w:szCs w:val="20"/>
        </w:rPr>
        <w:t xml:space="preserve">Common Interventions:</w:t>
      </w:r>
    </w:p>
    <w:p>
      <w:pPr>
        <w:spacing w:after="120"/>
      </w:pPr>
      <w:r>
        <w:rPr>
          <w:rFonts w:ascii="Arial" w:cs="Arial" w:eastAsia="Arial" w:hAnsi="Arial"/>
          <w:sz w:val="20"/>
          <w:szCs w:val="20"/>
        </w:rPr>
        <w:t xml:space="preserve">• Deploy dedicated Business RM in each (Ferizaj and Gjilan have biz penetration under 12%)</w:t>
      </w:r>
    </w:p>
    <w:p>
      <w:pPr>
        <w:spacing w:after="120"/>
      </w:pPr>
      <w:r>
        <w:rPr>
          <w:rFonts w:ascii="Arial" w:cs="Arial" w:eastAsia="Arial" w:hAnsi="Arial"/>
          <w:sz w:val="20"/>
          <w:szCs w:val="20"/>
        </w:rPr>
        <w:t xml:space="preserve">• POS acquisition campaign targeting local merchants</w:t>
      </w:r>
    </w:p>
    <w:p>
      <w:pPr>
        <w:spacing w:after="120"/>
      </w:pPr>
      <w:r>
        <w:rPr>
          <w:rFonts w:ascii="Arial" w:cs="Arial" w:eastAsia="Arial" w:hAnsi="Arial"/>
          <w:sz w:val="20"/>
          <w:szCs w:val="20"/>
        </w:rPr>
        <w:t xml:space="preserve">• Consumer lending push to match Fushe Kosove's 14.5% benchmark</w:t>
      </w:r>
    </w:p>
    <w:p>
      <w:pPr>
        <w:spacing w:after="120"/>
      </w:pPr>
      <w:r>
        <w:rPr>
          <w:rFonts w:ascii="Arial" w:cs="Arial" w:eastAsia="Arial" w:hAnsi="Arial"/>
          <w:sz w:val="20"/>
          <w:szCs w:val="20"/>
        </w:rPr>
        <w:t xml:space="preserve">• Credit card campaign — all three have very low CC penetration</w:t>
      </w:r>
    </w:p>
    <w:p>
      <w:pPr>
        <w:spacing w:after="120"/>
      </w:pPr>
      <w:r>
        <w:rPr>
          <w:rFonts w:ascii="Arial" w:cs="Arial" w:eastAsia="Arial" w:hAnsi="Arial"/>
          <w:sz w:val="20"/>
          <w:szCs w:val="20"/>
        </w:rPr>
        <w:t xml:space="preserve">• Note: Fushe Kosove is a positive outlier in business penetration (19.6%) and POS density (74.1 per 1,000 biz) — study its practices for replication</w:t>
      </w:r>
    </w:p>
    <w:p>
      <w:pPr>
        <w:spacing w:after="80"/>
      </w:pPr>
    </w:p>
    <w:p>
      <w:r>
        <w:br w:type="page"/>
      </w:r>
    </w:p>
    <w:p>
      <w:pPr>
        <w:pStyle w:val="Heading2"/>
        <w:spacing w:after="160" w:before="280"/>
      </w:pPr>
      <w:r>
        <w:rPr>
          <w:rFonts w:ascii="Arial" w:cs="Arial" w:eastAsia="Arial" w:hAnsi="Arial"/>
          <w:b/>
          <w:bCs/>
          <w:color w:val="2E75B6"/>
          <w:sz w:val="26"/>
          <w:szCs w:val="26"/>
        </w:rPr>
        <w:t xml:space="preserve">B2. High-Performing Branches</w:t>
      </w:r>
    </w:p>
    <w:p>
      <w:pPr>
        <w:spacing w:after="80"/>
      </w:pPr>
    </w:p>
    <w:p>
      <w:pPr>
        <w:pStyle w:val="Heading3"/>
        <w:spacing w:after="120" w:before="200"/>
      </w:pPr>
      <w:r>
        <w:rPr>
          <w:rFonts w:ascii="Arial" w:cs="Arial" w:eastAsia="Arial" w:hAnsi="Arial"/>
          <w:b/>
          <w:bCs/>
          <w:color w:val="404040"/>
          <w:sz w:val="22"/>
          <w:szCs w:val="22"/>
        </w:rPr>
        <w:t xml:space="preserve">PRISHTINE — The Anchor</w:t>
      </w:r>
    </w:p>
    <w:p>
      <w:pPr>
        <w:spacing w:after="120"/>
      </w:pPr>
      <w:r>
        <w:rPr>
          <w:rFonts w:ascii="Arial" w:cs="Arial" w:eastAsia="Arial" w:hAnsi="Arial"/>
          <w:b/>
          <w:bCs/>
          <w:sz w:val="20"/>
          <w:szCs w:val="20"/>
        </w:rPr>
        <w:t xml:space="preserve">What Drives Strong Performance:</w:t>
      </w:r>
    </w:p>
    <w:p>
      <w:pPr>
        <w:spacing w:after="120"/>
      </w:pPr>
      <w:r>
        <w:rPr>
          <w:rFonts w:ascii="Arial" w:cs="Arial" w:eastAsia="Arial" w:hAnsi="Arial"/>
          <w:sz w:val="20"/>
          <w:szCs w:val="20"/>
        </w:rPr>
        <w:t xml:space="preserve">• [DATA] Highest absolute client volumes: 47,635 PI, 4,216 Business (32% of NLB biz clients)</w:t>
      </w:r>
    </w:p>
    <w:p>
      <w:pPr>
        <w:spacing w:after="120"/>
      </w:pPr>
      <w:r>
        <w:rPr>
          <w:rFonts w:ascii="Arial" w:cs="Arial" w:eastAsia="Arial" w:hAnsi="Arial"/>
          <w:sz w:val="20"/>
          <w:szCs w:val="20"/>
        </w:rPr>
        <w:t xml:space="preserve">• [DATA] Highest M-Banking adoption: 7.0% of PI clients</w:t>
      </w:r>
    </w:p>
    <w:p>
      <w:pPr>
        <w:spacing w:after="120"/>
      </w:pPr>
      <w:r>
        <w:rPr>
          <w:rFonts w:ascii="Arial" w:cs="Arial" w:eastAsia="Arial" w:hAnsi="Arial"/>
          <w:sz w:val="20"/>
          <w:szCs w:val="20"/>
        </w:rPr>
        <w:t xml:space="preserve">• [DATA] Deepest product mix: 36.1% of all mortgages, 28.1% of consumer loans, 24.9% of CC</w:t>
      </w:r>
    </w:p>
    <w:p>
      <w:pPr>
        <w:spacing w:after="120"/>
      </w:pPr>
      <w:r>
        <w:rPr>
          <w:rFonts w:ascii="Arial" w:cs="Arial" w:eastAsia="Arial" w:hAnsi="Arial"/>
          <w:sz w:val="20"/>
          <w:szCs w:val="20"/>
        </w:rPr>
        <w:t xml:space="preserve">• [DATA] Best POS density: 1,705 terminals (44.7% of network total)</w:t>
      </w:r>
    </w:p>
    <w:p>
      <w:pPr>
        <w:spacing w:after="120"/>
      </w:pPr>
      <w:r>
        <w:rPr>
          <w:rFonts w:ascii="Arial" w:cs="Arial" w:eastAsia="Arial" w:hAnsi="Arial"/>
          <w:sz w:val="20"/>
          <w:szCs w:val="20"/>
        </w:rPr>
        <w:t xml:space="preserve">• [INFERENCE] Benefits from capital city effect: government, corporate, and international organization clients</w:t>
      </w:r>
    </w:p>
    <w:p>
      <w:pPr>
        <w:spacing w:after="120"/>
      </w:pPr>
      <w:r>
        <w:rPr>
          <w:rFonts w:ascii="Arial" w:cs="Arial" w:eastAsia="Arial" w:hAnsi="Arial"/>
          <w:b/>
          <w:bCs/>
          <w:sz w:val="20"/>
          <w:szCs w:val="20"/>
        </w:rPr>
        <w:t xml:space="preserve">What Should Be Replicated:</w:t>
      </w:r>
    </w:p>
    <w:p>
      <w:pPr>
        <w:spacing w:after="120"/>
      </w:pPr>
      <w:r>
        <w:rPr>
          <w:rFonts w:ascii="Arial" w:cs="Arial" w:eastAsia="Arial" w:hAnsi="Arial"/>
          <w:sz w:val="20"/>
          <w:szCs w:val="20"/>
        </w:rPr>
        <w:t xml:space="preserve">• Product cross-sell methodology — Prishtine achieves higher product-per-client ratios</w:t>
      </w:r>
    </w:p>
    <w:p>
      <w:pPr>
        <w:spacing w:after="120"/>
      </w:pPr>
      <w:r>
        <w:rPr>
          <w:rFonts w:ascii="Arial" w:cs="Arial" w:eastAsia="Arial" w:hAnsi="Arial"/>
          <w:sz w:val="20"/>
          <w:szCs w:val="20"/>
        </w:rPr>
        <w:t xml:space="preserve">• POS acquisition approach — how the branch achieved 1,705 terminal deployments</w:t>
      </w:r>
    </w:p>
    <w:p>
      <w:pPr>
        <w:spacing w:after="120"/>
      </w:pPr>
      <w:r>
        <w:rPr>
          <w:rFonts w:ascii="Arial" w:cs="Arial" w:eastAsia="Arial" w:hAnsi="Arial"/>
          <w:sz w:val="20"/>
          <w:szCs w:val="20"/>
        </w:rPr>
        <w:t xml:space="preserve">• Digital onboarding processes</w:t>
      </w:r>
    </w:p>
    <w:p>
      <w:pPr>
        <w:spacing w:after="120"/>
      </w:pPr>
      <w:r>
        <w:rPr>
          <w:rFonts w:ascii="Arial" w:cs="Arial" w:eastAsia="Arial" w:hAnsi="Arial"/>
          <w:b/>
          <w:bCs/>
          <w:sz w:val="20"/>
          <w:szCs w:val="20"/>
        </w:rPr>
        <w:t xml:space="preserve">Benchmark Status: YES — Prishtine should serve as the benchmark for large-city branch model.</w:t>
      </w:r>
    </w:p>
    <w:p>
      <w:pPr>
        <w:spacing w:after="120"/>
      </w:pPr>
      <w:r>
        <w:rPr>
          <w:rFonts w:ascii="Arial" w:cs="Arial" w:eastAsia="Arial" w:hAnsi="Arial"/>
          <w:b/>
          <w:bCs/>
          <w:sz w:val="20"/>
          <w:szCs w:val="20"/>
        </w:rPr>
        <w:t xml:space="preserve">Risk: Concentration. 19.8% of PI clients and 32% of business clients creates vulnerability.</w:t>
      </w:r>
    </w:p>
    <w:p>
      <w:pPr>
        <w:spacing w:after="80"/>
      </w:pPr>
    </w:p>
    <w:p>
      <w:pPr>
        <w:pStyle w:val="Heading3"/>
        <w:spacing w:after="120" w:before="200"/>
      </w:pPr>
      <w:r>
        <w:rPr>
          <w:rFonts w:ascii="Arial" w:cs="Arial" w:eastAsia="Arial" w:hAnsi="Arial"/>
          <w:b/>
          <w:bCs/>
          <w:color w:val="404040"/>
          <w:sz w:val="22"/>
          <w:szCs w:val="22"/>
        </w:rPr>
        <w:t xml:space="preserve">DECAN — The Small-Town Champion</w:t>
      </w:r>
    </w:p>
    <w:p>
      <w:pPr>
        <w:spacing w:after="120"/>
      </w:pPr>
      <w:r>
        <w:rPr>
          <w:rFonts w:ascii="Arial" w:cs="Arial" w:eastAsia="Arial" w:hAnsi="Arial"/>
          <w:b/>
          <w:bCs/>
          <w:sz w:val="20"/>
          <w:szCs w:val="20"/>
        </w:rPr>
        <w:t xml:space="preserve">What Drives Strong Performance:</w:t>
      </w:r>
    </w:p>
    <w:p>
      <w:pPr>
        <w:spacing w:after="120"/>
      </w:pPr>
      <w:r>
        <w:rPr>
          <w:rFonts w:ascii="Arial" w:cs="Arial" w:eastAsia="Arial" w:hAnsi="Arial"/>
          <w:sz w:val="20"/>
          <w:szCs w:val="20"/>
        </w:rPr>
        <w:t xml:space="preserve">• [DATA] 34.0% PI penetration — highest among small-town branches</w:t>
      </w:r>
    </w:p>
    <w:p>
      <w:pPr>
        <w:spacing w:after="120"/>
      </w:pPr>
      <w:r>
        <w:rPr>
          <w:rFonts w:ascii="Arial" w:cs="Arial" w:eastAsia="Arial" w:hAnsi="Arial"/>
          <w:sz w:val="20"/>
          <w:szCs w:val="20"/>
        </w:rPr>
        <w:t xml:space="preserve">• [DATA] 36.9% business penetration — nearly 3 of 10 businesses banked</w:t>
      </w:r>
    </w:p>
    <w:p>
      <w:pPr>
        <w:spacing w:after="120"/>
      </w:pPr>
      <w:r>
        <w:rPr>
          <w:rFonts w:ascii="Arial" w:cs="Arial" w:eastAsia="Arial" w:hAnsi="Arial"/>
          <w:sz w:val="20"/>
          <w:szCs w:val="20"/>
        </w:rPr>
        <w:t xml:space="preserve">• [DATA] 59.2% business digital adoption — above average</w:t>
      </w:r>
    </w:p>
    <w:p>
      <w:pPr>
        <w:spacing w:after="120"/>
      </w:pPr>
      <w:r>
        <w:rPr>
          <w:rFonts w:ascii="Arial" w:cs="Arial" w:eastAsia="Arial" w:hAnsi="Arial"/>
          <w:sz w:val="20"/>
          <w:szCs w:val="20"/>
        </w:rPr>
        <w:t xml:space="preserve">• [INFERENCE] In a town of 27,775, NLB has likely become the community's primary bank</w:t>
      </w:r>
    </w:p>
    <w:p>
      <w:pPr>
        <w:spacing w:after="120"/>
      </w:pPr>
      <w:r>
        <w:rPr>
          <w:rFonts w:ascii="Arial" w:cs="Arial" w:eastAsia="Arial" w:hAnsi="Arial"/>
          <w:b/>
          <w:bCs/>
          <w:sz w:val="20"/>
          <w:szCs w:val="20"/>
        </w:rPr>
        <w:t xml:space="preserve">What Should Be Replicated:</w:t>
      </w:r>
    </w:p>
    <w:p>
      <w:pPr>
        <w:spacing w:after="120"/>
      </w:pPr>
      <w:r>
        <w:rPr>
          <w:rFonts w:ascii="Arial" w:cs="Arial" w:eastAsia="Arial" w:hAnsi="Arial"/>
          <w:sz w:val="20"/>
          <w:szCs w:val="20"/>
        </w:rPr>
        <w:t xml:space="preserve">• Community banking approach — likely deep local relationships and trust</w:t>
      </w:r>
    </w:p>
    <w:p>
      <w:pPr>
        <w:spacing w:after="120"/>
      </w:pPr>
      <w:r>
        <w:rPr>
          <w:rFonts w:ascii="Arial" w:cs="Arial" w:eastAsia="Arial" w:hAnsi="Arial"/>
          <w:sz w:val="20"/>
          <w:szCs w:val="20"/>
        </w:rPr>
        <w:t xml:space="preserve">• Business acquisition methodology — how branch achieved 36.9% biz penetration</w:t>
      </w:r>
    </w:p>
    <w:p>
      <w:pPr>
        <w:spacing w:after="120"/>
      </w:pPr>
      <w:r>
        <w:rPr>
          <w:rFonts w:ascii="Arial" w:cs="Arial" w:eastAsia="Arial" w:hAnsi="Arial"/>
          <w:b/>
          <w:bCs/>
          <w:sz w:val="20"/>
          <w:szCs w:val="20"/>
        </w:rPr>
        <w:t xml:space="preserve">Benchmark Status: YES — Decan should be the benchmark for small-town branch model.</w:t>
      </w:r>
    </w:p>
    <w:p>
      <w:pPr>
        <w:spacing w:after="80"/>
      </w:pPr>
    </w:p>
    <w:p>
      <w:pPr>
        <w:pStyle w:val="Heading3"/>
        <w:spacing w:after="120" w:before="200"/>
      </w:pPr>
      <w:r>
        <w:rPr>
          <w:rFonts w:ascii="Arial" w:cs="Arial" w:eastAsia="Arial" w:hAnsi="Arial"/>
          <w:b/>
          <w:bCs/>
          <w:color w:val="404040"/>
          <w:sz w:val="22"/>
          <w:szCs w:val="22"/>
        </w:rPr>
        <w:t xml:space="preserve">KACANIK — The Balanced Performer</w:t>
      </w:r>
    </w:p>
    <w:p>
      <w:pPr>
        <w:spacing w:after="120"/>
      </w:pPr>
      <w:r>
        <w:rPr>
          <w:rFonts w:ascii="Arial" w:cs="Arial" w:eastAsia="Arial" w:hAnsi="Arial"/>
          <w:b/>
          <w:bCs/>
          <w:sz w:val="20"/>
          <w:szCs w:val="20"/>
        </w:rPr>
        <w:t xml:space="preserve">What Drives Strong Performance:</w:t>
      </w:r>
    </w:p>
    <w:p>
      <w:pPr>
        <w:spacing w:after="120"/>
      </w:pPr>
      <w:r>
        <w:rPr>
          <w:rFonts w:ascii="Arial" w:cs="Arial" w:eastAsia="Arial" w:hAnsi="Arial"/>
          <w:sz w:val="20"/>
          <w:szCs w:val="20"/>
        </w:rPr>
        <w:t xml:space="preserve">• [DATA] 28.0% PI penetration, 35.0% business penetration — strong across both segments</w:t>
      </w:r>
    </w:p>
    <w:p>
      <w:pPr>
        <w:spacing w:after="120"/>
      </w:pPr>
      <w:r>
        <w:rPr>
          <w:rFonts w:ascii="Arial" w:cs="Arial" w:eastAsia="Arial" w:hAnsi="Arial"/>
          <w:sz w:val="20"/>
          <w:szCs w:val="20"/>
        </w:rPr>
        <w:t xml:space="preserve">• [DATA] +15.0% business client growth (+43 clients) — exceptional</w:t>
      </w:r>
    </w:p>
    <w:p>
      <w:pPr>
        <w:spacing w:after="120"/>
      </w:pPr>
      <w:r>
        <w:rPr>
          <w:rFonts w:ascii="Arial" w:cs="Arial" w:eastAsia="Arial" w:hAnsi="Arial"/>
          <w:sz w:val="20"/>
          <w:szCs w:val="20"/>
        </w:rPr>
        <w:t xml:space="preserve">• [DATA] Solid product depth: 10.8% consumer loan, 0.9% CC penetration</w:t>
      </w:r>
    </w:p>
    <w:p>
      <w:pPr>
        <w:spacing w:after="120"/>
      </w:pPr>
      <w:r>
        <w:rPr>
          <w:rFonts w:ascii="Arial" w:cs="Arial" w:eastAsia="Arial" w:hAnsi="Arial"/>
          <w:sz w:val="20"/>
          <w:szCs w:val="20"/>
        </w:rPr>
        <w:t xml:space="preserve">• [DATA] M-Banking at 5.0% — exactly at target level</w:t>
      </w:r>
    </w:p>
    <w:p>
      <w:pPr>
        <w:spacing w:after="120"/>
      </w:pPr>
      <w:r>
        <w:rPr>
          <w:rFonts w:ascii="Arial" w:cs="Arial" w:eastAsia="Arial" w:hAnsi="Arial"/>
          <w:b/>
          <w:bCs/>
          <w:sz w:val="20"/>
          <w:szCs w:val="20"/>
        </w:rPr>
        <w:t xml:space="preserve">What Should Be Replicated:</w:t>
      </w:r>
    </w:p>
    <w:p>
      <w:pPr>
        <w:spacing w:after="120"/>
      </w:pPr>
      <w:r>
        <w:rPr>
          <w:rFonts w:ascii="Arial" w:cs="Arial" w:eastAsia="Arial" w:hAnsi="Arial"/>
          <w:sz w:val="20"/>
          <w:szCs w:val="20"/>
        </w:rPr>
        <w:t xml:space="preserve">• Business client acquisition approach — +15% growth is remarkable</w:t>
      </w:r>
    </w:p>
    <w:p>
      <w:pPr>
        <w:spacing w:after="120"/>
      </w:pPr>
      <w:r>
        <w:rPr>
          <w:rFonts w:ascii="Arial" w:cs="Arial" w:eastAsia="Arial" w:hAnsi="Arial"/>
          <w:sz w:val="20"/>
          <w:szCs w:val="20"/>
        </w:rPr>
        <w:t xml:space="preserve">• Balanced PI/Business focus — many branches skew heavily to one segment</w:t>
      </w:r>
    </w:p>
    <w:p>
      <w:pPr>
        <w:spacing w:after="120"/>
      </w:pPr>
      <w:r>
        <w:rPr>
          <w:rFonts w:ascii="Arial" w:cs="Arial" w:eastAsia="Arial" w:hAnsi="Arial"/>
          <w:b/>
          <w:bCs/>
          <w:sz w:val="20"/>
          <w:szCs w:val="20"/>
        </w:rPr>
        <w:t xml:space="preserve">Benchmark Status: YES — Kacanik should be studied for business banking best practices.</w:t>
      </w:r>
    </w:p>
    <w:p>
      <w:pPr>
        <w:spacing w:after="80"/>
      </w:pPr>
    </w:p>
    <w:p>
      <w:pPr>
        <w:pStyle w:val="Heading3"/>
        <w:spacing w:after="120" w:before="200"/>
      </w:pPr>
      <w:r>
        <w:rPr>
          <w:rFonts w:ascii="Arial" w:cs="Arial" w:eastAsia="Arial" w:hAnsi="Arial"/>
          <w:b/>
          <w:bCs/>
          <w:color w:val="404040"/>
          <w:sz w:val="22"/>
          <w:szCs w:val="22"/>
        </w:rPr>
        <w:t xml:space="preserve">HANI I ELEZIT — The Border Dynamo</w:t>
      </w:r>
    </w:p>
    <w:p>
      <w:pPr>
        <w:spacing w:after="120"/>
      </w:pPr>
      <w:r>
        <w:rPr>
          <w:rFonts w:ascii="Arial" w:cs="Arial" w:eastAsia="Arial" w:hAnsi="Arial"/>
          <w:b/>
          <w:bCs/>
          <w:sz w:val="20"/>
          <w:szCs w:val="20"/>
        </w:rPr>
        <w:t xml:space="preserve">What Drives Strong Performance:</w:t>
      </w:r>
    </w:p>
    <w:p>
      <w:pPr>
        <w:spacing w:after="120"/>
      </w:pPr>
      <w:r>
        <w:rPr>
          <w:rFonts w:ascii="Arial" w:cs="Arial" w:eastAsia="Arial" w:hAnsi="Arial"/>
          <w:sz w:val="20"/>
          <w:szCs w:val="20"/>
        </w:rPr>
        <w:t xml:space="preserve">• [DATA] 53.1% PI penetration — highest in network (ex-outliers)</w:t>
      </w:r>
    </w:p>
    <w:p>
      <w:pPr>
        <w:spacing w:after="120"/>
      </w:pPr>
      <w:r>
        <w:rPr>
          <w:rFonts w:ascii="Arial" w:cs="Arial" w:eastAsia="Arial" w:hAnsi="Arial"/>
          <w:sz w:val="20"/>
          <w:szCs w:val="20"/>
        </w:rPr>
        <w:t xml:space="preserve">• [DATA] 67.7% business penetration — highest in network</w:t>
      </w:r>
    </w:p>
    <w:p>
      <w:pPr>
        <w:spacing w:after="120"/>
      </w:pPr>
      <w:r>
        <w:rPr>
          <w:rFonts w:ascii="Arial" w:cs="Arial" w:eastAsia="Arial" w:hAnsi="Arial"/>
          <w:sz w:val="20"/>
          <w:szCs w:val="20"/>
        </w:rPr>
        <w:t xml:space="preserve">• [DATA] +8.5% PI growth, +9.8% business growth — both among highest</w:t>
      </w:r>
    </w:p>
    <w:p>
      <w:pPr>
        <w:spacing w:after="120"/>
      </w:pPr>
      <w:r>
        <w:rPr>
          <w:rFonts w:ascii="Arial" w:cs="Arial" w:eastAsia="Arial" w:hAnsi="Arial"/>
          <w:sz w:val="20"/>
          <w:szCs w:val="20"/>
        </w:rPr>
        <w:t xml:space="preserve">• [INFERENCE] Border position (Kosovo-North Macedonia) creates captive market and trade-related banking demand</w:t>
      </w:r>
    </w:p>
    <w:p>
      <w:pPr>
        <w:spacing w:after="120"/>
      </w:pPr>
      <w:r>
        <w:rPr>
          <w:rFonts w:ascii="Arial" w:cs="Arial" w:eastAsia="Arial" w:hAnsi="Arial"/>
          <w:b/>
          <w:bCs/>
          <w:sz w:val="20"/>
          <w:szCs w:val="20"/>
        </w:rPr>
        <w:t xml:space="preserve">What Should Be Replicated:</w:t>
      </w:r>
    </w:p>
    <w:p>
      <w:pPr>
        <w:spacing w:after="120"/>
      </w:pPr>
      <w:r>
        <w:rPr>
          <w:rFonts w:ascii="Arial" w:cs="Arial" w:eastAsia="Arial" w:hAnsi="Arial"/>
          <w:sz w:val="20"/>
          <w:szCs w:val="20"/>
        </w:rPr>
        <w:t xml:space="preserve">• High-growth approach in a small market — how the branch continues to grow at 53% penetration</w:t>
      </w:r>
    </w:p>
    <w:p>
      <w:pPr>
        <w:spacing w:after="120"/>
      </w:pPr>
      <w:r>
        <w:rPr>
          <w:rFonts w:ascii="Arial" w:cs="Arial" w:eastAsia="Arial" w:hAnsi="Arial"/>
          <w:sz w:val="20"/>
          <w:szCs w:val="20"/>
        </w:rPr>
        <w:t xml:space="preserve">• Business banking intensity in trade corridor</w:t>
      </w:r>
    </w:p>
    <w:p>
      <w:pPr>
        <w:spacing w:after="120"/>
      </w:pPr>
      <w:r>
        <w:rPr>
          <w:rFonts w:ascii="Arial" w:cs="Arial" w:eastAsia="Arial" w:hAnsi="Arial"/>
          <w:b/>
          <w:bCs/>
          <w:sz w:val="20"/>
          <w:szCs w:val="20"/>
        </w:rPr>
        <w:t xml:space="preserve">Benchmark Status: YES — but unique border positioning limits direct replicability.</w:t>
      </w:r>
    </w:p>
    <w:p>
      <w:pPr>
        <w:spacing w:after="80"/>
      </w:pPr>
    </w:p>
    <w:p>
      <w:r>
        <w:br w:type="page"/>
      </w:r>
    </w:p>
    <w:p>
      <w:pPr>
        <w:pStyle w:val="Heading2"/>
        <w:spacing w:after="160" w:before="280"/>
      </w:pPr>
      <w:r>
        <w:rPr>
          <w:rFonts w:ascii="Arial" w:cs="Arial" w:eastAsia="Arial" w:hAnsi="Arial"/>
          <w:b/>
          <w:bCs/>
          <w:color w:val="2E75B6"/>
          <w:sz w:val="26"/>
          <w:szCs w:val="26"/>
        </w:rPr>
        <w:t xml:space="preserve">B3. Structurally Constrained Branches</w:t>
      </w:r>
    </w:p>
    <w:p>
      <w:pPr>
        <w:spacing w:after="80"/>
      </w:pPr>
    </w:p>
    <w:p>
      <w:pPr>
        <w:pStyle w:val="Heading3"/>
        <w:spacing w:after="120" w:before="200"/>
      </w:pPr>
      <w:r>
        <w:rPr>
          <w:rFonts w:ascii="Arial" w:cs="Arial" w:eastAsia="Arial" w:hAnsi="Arial"/>
          <w:b/>
          <w:bCs/>
          <w:color w:val="404040"/>
          <w:sz w:val="22"/>
          <w:szCs w:val="22"/>
        </w:rPr>
        <w:t xml:space="preserve">MITROVICE VERIORE</w:t>
      </w:r>
    </w:p>
    <w:p>
      <w:pPr>
        <w:spacing w:after="120"/>
      </w:pPr>
      <w:r>
        <w:rPr>
          <w:rFonts w:ascii="Arial" w:cs="Arial" w:eastAsia="Arial" w:hAnsi="Arial"/>
          <w:b/>
          <w:bCs/>
          <w:sz w:val="20"/>
          <w:szCs w:val="20"/>
        </w:rPr>
        <w:t xml:space="preserve">Constraint: Unique demographics</w:t>
      </w:r>
    </w:p>
    <w:p>
      <w:pPr>
        <w:spacing w:after="120"/>
      </w:pPr>
      <w:r>
        <w:rPr>
          <w:rFonts w:ascii="Arial" w:cs="Arial" w:eastAsia="Arial" w:hAnsi="Arial"/>
          <w:sz w:val="20"/>
          <w:szCs w:val="20"/>
        </w:rPr>
        <w:t xml:space="preserve">Serb-majority municipality. Pop 7,920 but 9,261 PI clients (135% pen) — serves surrounding areas. 98.7% business penetration. 86% biz digital.</w:t>
      </w:r>
    </w:p>
    <w:p>
      <w:pPr>
        <w:spacing w:after="120"/>
      </w:pPr>
      <w:r>
        <w:rPr>
          <w:rFonts w:ascii="Arial" w:cs="Arial" w:eastAsia="Arial" w:hAnsi="Arial"/>
          <w:b/>
          <w:bCs/>
          <w:sz w:val="20"/>
          <w:szCs w:val="20"/>
        </w:rPr>
        <w:t xml:space="preserve">Recommendation: Maintain as community anchor. Focus on product deepening (only 89 mortgages, 1 CC). Consider hub for northern Kosovo operations.</w:t>
      </w:r>
    </w:p>
    <w:p>
      <w:pPr>
        <w:spacing w:after="80"/>
      </w:pPr>
    </w:p>
    <w:p>
      <w:pPr>
        <w:pStyle w:val="Heading3"/>
        <w:spacing w:after="120" w:before="200"/>
      </w:pPr>
      <w:r>
        <w:rPr>
          <w:rFonts w:ascii="Arial" w:cs="Arial" w:eastAsia="Arial" w:hAnsi="Arial"/>
          <w:b/>
          <w:bCs/>
          <w:color w:val="404040"/>
          <w:sz w:val="22"/>
          <w:szCs w:val="22"/>
        </w:rPr>
        <w:t xml:space="preserve">GRACANICE</w:t>
      </w:r>
    </w:p>
    <w:p>
      <w:pPr>
        <w:spacing w:after="120"/>
      </w:pPr>
      <w:r>
        <w:rPr>
          <w:rFonts w:ascii="Arial" w:cs="Arial" w:eastAsia="Arial" w:hAnsi="Arial"/>
          <w:b/>
          <w:bCs/>
          <w:sz w:val="20"/>
          <w:szCs w:val="20"/>
        </w:rPr>
        <w:t xml:space="preserve">Constraint: Weak product depth</w:t>
      </w:r>
    </w:p>
    <w:p>
      <w:pPr>
        <w:spacing w:after="120"/>
      </w:pPr>
      <w:r>
        <w:rPr>
          <w:rFonts w:ascii="Arial" w:cs="Arial" w:eastAsia="Arial" w:hAnsi="Arial"/>
          <w:sz w:val="20"/>
          <w:szCs w:val="20"/>
        </w:rPr>
        <w:t xml:space="preserve">Serb-majority enclave near Prishtine. 24.9% PI pen but only 15 mortgages, 2 CC, 2 OVD. 86% biz digital. 10.7% biz penetration.</w:t>
      </w:r>
    </w:p>
    <w:p>
      <w:pPr>
        <w:spacing w:after="120"/>
      </w:pPr>
      <w:r>
        <w:rPr>
          <w:rFonts w:ascii="Arial" w:cs="Arial" w:eastAsia="Arial" w:hAnsi="Arial"/>
          <w:b/>
          <w:bCs/>
          <w:sz w:val="20"/>
          <w:szCs w:val="20"/>
        </w:rPr>
        <w:t xml:space="preserve">Recommendation: Pivot to business advisory center. Product cross-sell campaign for existing 3,691 PI clients. Mortgage and CC push.</w:t>
      </w:r>
    </w:p>
    <w:p>
      <w:pPr>
        <w:spacing w:after="80"/>
      </w:pPr>
    </w:p>
    <w:p>
      <w:pPr>
        <w:pStyle w:val="Heading3"/>
        <w:spacing w:after="120" w:before="200"/>
      </w:pPr>
      <w:r>
        <w:rPr>
          <w:rFonts w:ascii="Arial" w:cs="Arial" w:eastAsia="Arial" w:hAnsi="Arial"/>
          <w:b/>
          <w:bCs/>
          <w:color w:val="404040"/>
          <w:sz w:val="22"/>
          <w:szCs w:val="22"/>
        </w:rPr>
        <w:t xml:space="preserve">SHTERPC</w:t>
      </w:r>
    </w:p>
    <w:p>
      <w:pPr>
        <w:spacing w:after="120"/>
      </w:pPr>
      <w:r>
        <w:rPr>
          <w:rFonts w:ascii="Arial" w:cs="Arial" w:eastAsia="Arial" w:hAnsi="Arial"/>
          <w:b/>
          <w:bCs/>
          <w:sz w:val="20"/>
          <w:szCs w:val="20"/>
        </w:rPr>
        <w:t xml:space="preserve">Constraint: Small saturated market</w:t>
      </w:r>
    </w:p>
    <w:p>
      <w:pPr>
        <w:spacing w:after="120"/>
      </w:pPr>
      <w:r>
        <w:rPr>
          <w:rFonts w:ascii="Arial" w:cs="Arial" w:eastAsia="Arial" w:hAnsi="Arial"/>
          <w:sz w:val="20"/>
          <w:szCs w:val="20"/>
        </w:rPr>
        <w:t xml:space="preserve">Pop 10,771. Already at 33% PI pen, 37.2% biz pen. Lowest M-Banking (2.2%). Only 9 POS for 266 businesses.</w:t>
      </w:r>
    </w:p>
    <w:p>
      <w:pPr>
        <w:spacing w:after="120"/>
      </w:pPr>
      <w:r>
        <w:rPr>
          <w:rFonts w:ascii="Arial" w:cs="Arial" w:eastAsia="Arial" w:hAnsi="Arial"/>
          <w:b/>
          <w:bCs/>
          <w:sz w:val="20"/>
          <w:szCs w:val="20"/>
        </w:rPr>
        <w:t xml:space="preserve">Recommendation: Reduce to appointment-based format. Digital migration priority. Maintain for strategic access (Kosovo-Serbia dynamics).</w:t>
      </w:r>
    </w:p>
    <w:p>
      <w:pPr>
        <w:spacing w:after="80"/>
      </w:pPr>
    </w:p>
    <w:p>
      <w:pPr>
        <w:pStyle w:val="Heading3"/>
        <w:spacing w:after="120" w:before="200"/>
      </w:pPr>
      <w:r>
        <w:rPr>
          <w:rFonts w:ascii="Arial" w:cs="Arial" w:eastAsia="Arial" w:hAnsi="Arial"/>
          <w:b/>
          <w:bCs/>
          <w:color w:val="404040"/>
          <w:sz w:val="22"/>
          <w:szCs w:val="22"/>
        </w:rPr>
        <w:t xml:space="preserve">LEPOSAVIQ</w:t>
      </w:r>
    </w:p>
    <w:p>
      <w:pPr>
        <w:spacing w:after="120"/>
      </w:pPr>
      <w:r>
        <w:rPr>
          <w:rFonts w:ascii="Arial" w:cs="Arial" w:eastAsia="Arial" w:hAnsi="Arial"/>
          <w:b/>
          <w:bCs/>
          <w:sz w:val="20"/>
          <w:szCs w:val="20"/>
        </w:rPr>
        <w:t xml:space="preserve">Constraint: Nascent/low base</w:t>
      </w:r>
    </w:p>
    <w:p>
      <w:pPr>
        <w:spacing w:after="120"/>
      </w:pPr>
      <w:r>
        <w:rPr>
          <w:rFonts w:ascii="Arial" w:cs="Arial" w:eastAsia="Arial" w:hAnsi="Arial"/>
          <w:sz w:val="20"/>
          <w:szCs w:val="20"/>
        </w:rPr>
        <w:t xml:space="preserve">Pop 9,485. Only 389 PI clients (4.6% pen). Zero lending products. Growing fast (+101.6%) but from base of 193.</w:t>
      </w:r>
    </w:p>
    <w:p>
      <w:pPr>
        <w:spacing w:after="120"/>
      </w:pPr>
      <w:r>
        <w:rPr>
          <w:rFonts w:ascii="Arial" w:cs="Arial" w:eastAsia="Arial" w:hAnsi="Arial"/>
          <w:b/>
          <w:bCs/>
          <w:sz w:val="20"/>
          <w:szCs w:val="20"/>
        </w:rPr>
        <w:t xml:space="preserve">Recommendation: Monitor 12 months. If growth continues, invest in basic lending products. If stalls, convert to service point.</w:t>
      </w:r>
    </w:p>
    <w:p>
      <w:pPr>
        <w:spacing w:after="80"/>
      </w:pPr>
    </w:p>
    <w:p>
      <w:pPr>
        <w:pStyle w:val="Heading3"/>
        <w:spacing w:after="120" w:before="200"/>
      </w:pPr>
      <w:r>
        <w:rPr>
          <w:rFonts w:ascii="Arial" w:cs="Arial" w:eastAsia="Arial" w:hAnsi="Arial"/>
          <w:b/>
          <w:bCs/>
          <w:color w:val="404040"/>
          <w:sz w:val="22"/>
          <w:szCs w:val="22"/>
        </w:rPr>
        <w:t xml:space="preserve">ZUBIN POTOK</w:t>
      </w:r>
    </w:p>
    <w:p>
      <w:pPr>
        <w:spacing w:after="120"/>
      </w:pPr>
      <w:r>
        <w:rPr>
          <w:rFonts w:ascii="Arial" w:cs="Arial" w:eastAsia="Arial" w:hAnsi="Arial"/>
          <w:b/>
          <w:bCs/>
          <w:sz w:val="20"/>
          <w:szCs w:val="20"/>
        </w:rPr>
        <w:t xml:space="preserve">Constraint: Tiny market</w:t>
      </w:r>
    </w:p>
    <w:p>
      <w:pPr>
        <w:spacing w:after="120"/>
      </w:pPr>
      <w:r>
        <w:rPr>
          <w:rFonts w:ascii="Arial" w:cs="Arial" w:eastAsia="Arial" w:hAnsi="Arial"/>
          <w:sz w:val="20"/>
          <w:szCs w:val="20"/>
        </w:rPr>
        <w:t xml:space="preserve">Pop 3,385. Only 184 PI clients. Zero products beyond CA. 92% biz digital but only 26 biz clients.</w:t>
      </w:r>
    </w:p>
    <w:p>
      <w:pPr>
        <w:spacing w:after="120"/>
      </w:pPr>
      <w:r>
        <w:rPr>
          <w:rFonts w:ascii="Arial" w:cs="Arial" w:eastAsia="Arial" w:hAnsi="Arial"/>
          <w:b/>
          <w:bCs/>
          <w:sz w:val="20"/>
          <w:szCs w:val="20"/>
        </w:rPr>
        <w:t xml:space="preserve">Recommendation: Convert to scheduled service point or agent model. Digital-first with monthly physical advisor visit.</w:t>
      </w:r>
    </w:p>
    <w:p>
      <w:pPr>
        <w:spacing w:after="80"/>
      </w:pPr>
    </w:p>
    <w:p>
      <w:r>
        <w:br w:type="page"/>
      </w:r>
    </w:p>
    <w:p>
      <w:pPr>
        <w:pStyle w:val="Heading2"/>
        <w:spacing w:after="160" w:before="280"/>
      </w:pPr>
      <w:r>
        <w:rPr>
          <w:rFonts w:ascii="Arial" w:cs="Arial" w:eastAsia="Arial" w:hAnsi="Arial"/>
          <w:b/>
          <w:bCs/>
          <w:color w:val="2E75B6"/>
          <w:sz w:val="26"/>
          <w:szCs w:val="26"/>
        </w:rPr>
        <w:t xml:space="preserve">B4. Expansion Municipality Assessment</w:t>
      </w:r>
    </w:p>
    <w:p>
      <w:pPr>
        <w:spacing w:after="80"/>
      </w:pPr>
    </w:p>
    <w:p>
      <w:pPr>
        <w:pStyle w:val="Heading3"/>
        <w:spacing w:after="120" w:before="200"/>
      </w:pPr>
      <w:r>
        <w:rPr>
          <w:rFonts w:ascii="Arial" w:cs="Arial" w:eastAsia="Arial" w:hAnsi="Arial"/>
          <w:b/>
          <w:bCs/>
          <w:color w:val="404040"/>
          <w:sz w:val="22"/>
          <w:szCs w:val="22"/>
        </w:rPr>
        <w:t xml:space="preserve">DRAGASH — Priority 1</w:t>
      </w:r>
    </w:p>
    <w:p>
      <w:pPr>
        <w:spacing w:after="120"/>
      </w:pPr>
      <w:r>
        <w:rPr>
          <w:rFonts w:ascii="Arial" w:cs="Arial" w:eastAsia="Arial" w:hAnsi="Arial"/>
          <w:b/>
          <w:bCs/>
          <w:sz w:val="20"/>
          <w:szCs w:val="20"/>
        </w:rPr>
        <w:t xml:space="preserve">Why Attractive:</w:t>
      </w:r>
    </w:p>
    <w:p>
      <w:pPr>
        <w:spacing w:after="120"/>
      </w:pPr>
      <w:r>
        <w:rPr>
          <w:rFonts w:ascii="Arial" w:cs="Arial" w:eastAsia="Arial" w:hAnsi="Arial"/>
          <w:sz w:val="20"/>
          <w:szCs w:val="20"/>
        </w:rPr>
        <w:t xml:space="preserve">• [DATA] Population 28,896, Pop&gt;15 23,559 — larger than 12 existing NLB branch markets</w:t>
      </w:r>
    </w:p>
    <w:p>
      <w:pPr>
        <w:spacing w:after="120"/>
      </w:pPr>
      <w:r>
        <w:rPr>
          <w:rFonts w:ascii="Arial" w:cs="Arial" w:eastAsia="Arial" w:hAnsi="Arial"/>
          <w:sz w:val="20"/>
          <w:szCs w:val="20"/>
        </w:rPr>
        <w:t xml:space="preserve">• [DATA] 652 registered businesses</w:t>
      </w:r>
    </w:p>
    <w:p>
      <w:pPr>
        <w:spacing w:after="120"/>
      </w:pPr>
      <w:r>
        <w:rPr>
          <w:rFonts w:ascii="Arial" w:cs="Arial" w:eastAsia="Arial" w:hAnsi="Arial"/>
          <w:sz w:val="20"/>
          <w:szCs w:val="20"/>
        </w:rPr>
        <w:t xml:space="preserve">• [INFERENCE] Remote southwestern municipality with likely limited banking competition</w:t>
      </w:r>
    </w:p>
    <w:p>
      <w:pPr>
        <w:spacing w:after="120"/>
      </w:pPr>
      <w:r>
        <w:rPr>
          <w:rFonts w:ascii="Arial" w:cs="Arial" w:eastAsia="Arial" w:hAnsi="Arial"/>
          <w:sz w:val="20"/>
          <w:szCs w:val="20"/>
        </w:rPr>
        <w:t xml:space="preserve">• [INFERENCE] Agricultural and diaspora-driven economy with remittance banking demand</w:t>
      </w:r>
    </w:p>
    <w:p>
      <w:pPr>
        <w:spacing w:after="120"/>
      </w:pPr>
      <w:r>
        <w:rPr>
          <w:rFonts w:ascii="Arial" w:cs="Arial" w:eastAsia="Arial" w:hAnsi="Arial"/>
          <w:b/>
          <w:bCs/>
          <w:sz w:val="20"/>
          <w:szCs w:val="20"/>
        </w:rPr>
        <w:t xml:space="preserve">Recommended Format: Light-format branch</w:t>
      </w:r>
    </w:p>
    <w:p>
      <w:pPr>
        <w:spacing w:after="120"/>
      </w:pPr>
      <w:r>
        <w:rPr>
          <w:rFonts w:ascii="Arial" w:cs="Arial" w:eastAsia="Arial" w:hAnsi="Arial"/>
          <w:sz w:val="20"/>
          <w:szCs w:val="20"/>
        </w:rPr>
        <w:t xml:space="preserve">• 2-3 staff, core retail products (CA, SA, consumer loans, remittances, POS)</w:t>
      </w:r>
    </w:p>
    <w:p>
      <w:pPr>
        <w:spacing w:after="120"/>
      </w:pPr>
      <w:r>
        <w:rPr>
          <w:rFonts w:ascii="Arial" w:cs="Arial" w:eastAsia="Arial" w:hAnsi="Arial"/>
          <w:sz w:val="20"/>
          <w:szCs w:val="20"/>
        </w:rPr>
        <w:t xml:space="preserve">• Target: 2,000 PI clients (8.5% pen) and 40 business clients within 24 months</w:t>
      </w:r>
    </w:p>
    <w:p>
      <w:pPr>
        <w:spacing w:after="120"/>
      </w:pPr>
      <w:r>
        <w:rPr>
          <w:rFonts w:ascii="Arial" w:cs="Arial" w:eastAsia="Arial" w:hAnsi="Arial"/>
          <w:b/>
          <w:bCs/>
          <w:sz w:val="20"/>
          <w:szCs w:val="20"/>
        </w:rPr>
        <w:t xml:space="preserve">Risks to Validate:</w:t>
      </w:r>
    </w:p>
    <w:p>
      <w:pPr>
        <w:spacing w:after="120"/>
      </w:pPr>
      <w:r>
        <w:rPr>
          <w:rFonts w:ascii="Arial" w:cs="Arial" w:eastAsia="Arial" w:hAnsi="Arial"/>
          <w:sz w:val="20"/>
          <w:szCs w:val="20"/>
        </w:rPr>
        <w:t xml:space="preserve">• Actual competitive presence (RBKO, BKT may already serve this market)</w:t>
      </w:r>
    </w:p>
    <w:p>
      <w:pPr>
        <w:spacing w:after="120"/>
      </w:pPr>
      <w:r>
        <w:rPr>
          <w:rFonts w:ascii="Arial" w:cs="Arial" w:eastAsia="Arial" w:hAnsi="Arial"/>
          <w:sz w:val="20"/>
          <w:szCs w:val="20"/>
        </w:rPr>
        <w:t xml:space="preserve">• Economic activity level — business density is low (22.6 per 1,000 pop vs network 48.5)</w:t>
      </w:r>
    </w:p>
    <w:p>
      <w:pPr>
        <w:spacing w:after="120"/>
      </w:pPr>
      <w:r>
        <w:rPr>
          <w:rFonts w:ascii="Arial" w:cs="Arial" w:eastAsia="Arial" w:hAnsi="Arial"/>
          <w:sz w:val="20"/>
          <w:szCs w:val="20"/>
        </w:rPr>
        <w:t xml:space="preserve">• Real estate availability and cost for branch premises</w:t>
      </w:r>
    </w:p>
    <w:p>
      <w:pPr>
        <w:spacing w:after="80"/>
      </w:pPr>
    </w:p>
    <w:p>
      <w:pPr>
        <w:pStyle w:val="Heading3"/>
        <w:spacing w:after="120" w:before="200"/>
      </w:pPr>
      <w:r>
        <w:rPr>
          <w:rFonts w:ascii="Arial" w:cs="Arial" w:eastAsia="Arial" w:hAnsi="Arial"/>
          <w:b/>
          <w:bCs/>
          <w:color w:val="404040"/>
          <w:sz w:val="22"/>
          <w:szCs w:val="22"/>
        </w:rPr>
        <w:t xml:space="preserve">SHTIME — Priority 2</w:t>
      </w:r>
    </w:p>
    <w:p>
      <w:pPr>
        <w:spacing w:after="120"/>
      </w:pPr>
      <w:r>
        <w:rPr>
          <w:rFonts w:ascii="Arial" w:cs="Arial" w:eastAsia="Arial" w:hAnsi="Arial"/>
          <w:b/>
          <w:bCs/>
          <w:sz w:val="20"/>
          <w:szCs w:val="20"/>
        </w:rPr>
        <w:t xml:space="preserve">Why Attractive:</w:t>
      </w:r>
    </w:p>
    <w:p>
      <w:pPr>
        <w:spacing w:after="120"/>
      </w:pPr>
      <w:r>
        <w:rPr>
          <w:rFonts w:ascii="Arial" w:cs="Arial" w:eastAsia="Arial" w:hAnsi="Arial"/>
          <w:sz w:val="20"/>
          <w:szCs w:val="20"/>
        </w:rPr>
        <w:t xml:space="preserve">• [DATA] Population 24,308, Pop&gt;15 18,586</w:t>
      </w:r>
    </w:p>
    <w:p>
      <w:pPr>
        <w:spacing w:after="120"/>
      </w:pPr>
      <w:r>
        <w:rPr>
          <w:rFonts w:ascii="Arial" w:cs="Arial" w:eastAsia="Arial" w:hAnsi="Arial"/>
          <w:sz w:val="20"/>
          <w:szCs w:val="20"/>
        </w:rPr>
        <w:t xml:space="preserve">• [DATA] 802 registered businesses — higher business density than Dragash (33 per 1,000 pop)</w:t>
      </w:r>
    </w:p>
    <w:p>
      <w:pPr>
        <w:spacing w:after="120"/>
      </w:pPr>
      <w:r>
        <w:rPr>
          <w:rFonts w:ascii="Arial" w:cs="Arial" w:eastAsia="Arial" w:hAnsi="Arial"/>
          <w:sz w:val="20"/>
          <w:szCs w:val="20"/>
        </w:rPr>
        <w:t xml:space="preserve">• [INFERENCE] Proximity to Ferizaj and Prishtine creates commuter economy</w:t>
      </w:r>
    </w:p>
    <w:p>
      <w:pPr>
        <w:spacing w:after="120"/>
      </w:pPr>
      <w:r>
        <w:rPr>
          <w:rFonts w:ascii="Arial" w:cs="Arial" w:eastAsia="Arial" w:hAnsi="Arial"/>
          <w:sz w:val="20"/>
          <w:szCs w:val="20"/>
        </w:rPr>
        <w:t xml:space="preserve">• [INFERENCE] Currently served by Ferizaj branch but distance creates inconvenience</w:t>
      </w:r>
    </w:p>
    <w:p>
      <w:pPr>
        <w:spacing w:after="120"/>
      </w:pPr>
      <w:r>
        <w:rPr>
          <w:rFonts w:ascii="Arial" w:cs="Arial" w:eastAsia="Arial" w:hAnsi="Arial"/>
          <w:b/>
          <w:bCs/>
          <w:sz w:val="20"/>
          <w:szCs w:val="20"/>
        </w:rPr>
        <w:t xml:space="preserve">Recommended Format: Service point or satellite of Ferizaj branch</w:t>
      </w:r>
    </w:p>
    <w:p>
      <w:pPr>
        <w:spacing w:after="120"/>
      </w:pPr>
      <w:r>
        <w:rPr>
          <w:rFonts w:ascii="Arial" w:cs="Arial" w:eastAsia="Arial" w:hAnsi="Arial"/>
          <w:sz w:val="20"/>
          <w:szCs w:val="20"/>
        </w:rPr>
        <w:t xml:space="preserve">• 1-2 staff, basic services, shared back-office with Ferizaj</w:t>
      </w:r>
    </w:p>
    <w:p>
      <w:pPr>
        <w:spacing w:after="120"/>
      </w:pPr>
      <w:r>
        <w:rPr>
          <w:rFonts w:ascii="Arial" w:cs="Arial" w:eastAsia="Arial" w:hAnsi="Arial"/>
          <w:sz w:val="20"/>
          <w:szCs w:val="20"/>
        </w:rPr>
        <w:t xml:space="preserve">• Target: 1,500 PI clients and 30 business clients within 24 months</w:t>
      </w:r>
    </w:p>
    <w:p>
      <w:pPr>
        <w:spacing w:after="120"/>
      </w:pPr>
      <w:r>
        <w:rPr>
          <w:rFonts w:ascii="Arial" w:cs="Arial" w:eastAsia="Arial" w:hAnsi="Arial"/>
          <w:b/>
          <w:bCs/>
          <w:sz w:val="20"/>
          <w:szCs w:val="20"/>
        </w:rPr>
        <w:t xml:space="preserve">Risks to Validate:</w:t>
      </w:r>
    </w:p>
    <w:p>
      <w:pPr>
        <w:spacing w:after="120"/>
      </w:pPr>
      <w:r>
        <w:rPr>
          <w:rFonts w:ascii="Arial" w:cs="Arial" w:eastAsia="Arial" w:hAnsi="Arial"/>
          <w:sz w:val="20"/>
          <w:szCs w:val="20"/>
        </w:rPr>
        <w:t xml:space="preserve">• Cannibalization risk — some potential Shtime clients may already bank with NLB Ferizaj</w:t>
      </w:r>
    </w:p>
    <w:p>
      <w:pPr>
        <w:spacing w:after="120"/>
      </w:pPr>
      <w:r>
        <w:rPr>
          <w:rFonts w:ascii="Arial" w:cs="Arial" w:eastAsia="Arial" w:hAnsi="Arial"/>
          <w:sz w:val="20"/>
          <w:szCs w:val="20"/>
        </w:rPr>
        <w:t xml:space="preserve">• Competitor presence</w:t>
      </w:r>
    </w:p>
    <w:p>
      <w:pPr>
        <w:spacing w:after="80"/>
      </w:pPr>
    </w:p>
    <w:p>
      <w:pPr>
        <w:pStyle w:val="Heading3"/>
        <w:spacing w:after="120" w:before="200"/>
      </w:pPr>
      <w:r>
        <w:rPr>
          <w:rFonts w:ascii="Arial" w:cs="Arial" w:eastAsia="Arial" w:hAnsi="Arial"/>
          <w:b/>
          <w:bCs/>
          <w:color w:val="404040"/>
          <w:sz w:val="22"/>
          <w:szCs w:val="22"/>
        </w:rPr>
        <w:t xml:space="preserve">Remaining Municipalities</w:t>
      </w:r>
    </w:p>
    <w:p>
      <w:pPr>
        <w:spacing w:after="120"/>
      </w:pPr>
      <w:r>
        <w:rPr>
          <w:rFonts w:ascii="Arial" w:cs="Arial" w:eastAsia="Arial" w:hAnsi="Arial"/>
          <w:sz w:val="20"/>
          <w:szCs w:val="20"/>
        </w:rPr>
        <w:t xml:space="preserve">Mamush (pop 5,607, 219 biz): Consider agent banking model. High business density (39 per 1,000) but tiny population.</w:t>
      </w:r>
    </w:p>
    <w:p>
      <w:pPr>
        <w:spacing w:after="120"/>
      </w:pPr>
      <w:r>
        <w:rPr>
          <w:rFonts w:ascii="Arial" w:cs="Arial" w:eastAsia="Arial" w:hAnsi="Arial"/>
          <w:sz w:val="20"/>
          <w:szCs w:val="20"/>
        </w:rPr>
        <w:t xml:space="preserve">Zvecan (pop 2,867, 134 biz): Serb-majority municipality. Could be served as satellite of Mitrovice Veriore.</w:t>
      </w:r>
    </w:p>
    <w:p>
      <w:pPr>
        <w:spacing w:after="120"/>
      </w:pPr>
      <w:r>
        <w:rPr>
          <w:rFonts w:ascii="Arial" w:cs="Arial" w:eastAsia="Arial" w:hAnsi="Arial"/>
          <w:sz w:val="20"/>
          <w:szCs w:val="20"/>
        </w:rPr>
        <w:t xml:space="preserve">Novoberde, Junik, Kllokot, Partesh, Ranillug: Too small for any physical presence. Digital-only coverage.</w:t>
      </w:r>
    </w:p>
    <w:p>
      <w:pPr>
        <w:spacing w:after="80"/>
      </w:pPr>
    </w:p>
    <w:p>
      <w:r>
        <w:br w:type="page"/>
      </w:r>
    </w:p>
    <w:p>
      <w:pPr>
        <w:pStyle w:val="Heading1"/>
        <w:spacing w:after="200" w:before="360"/>
      </w:pPr>
      <w:r>
        <w:rPr>
          <w:rFonts w:ascii="Arial" w:cs="Arial" w:eastAsia="Arial" w:hAnsi="Arial"/>
          <w:b/>
          <w:bCs/>
          <w:color w:val="1F4E79"/>
          <w:sz w:val="32"/>
          <w:szCs w:val="32"/>
        </w:rPr>
        <w:t xml:space="preserve">FINAL STRATEGIC RECOMMENDATIONS</w:t>
      </w:r>
    </w:p>
    <w:p>
      <w:pPr>
        <w:spacing w:after="80"/>
      </w:pPr>
    </w:p>
    <w:p>
      <w:pPr>
        <w:pStyle w:val="Heading2"/>
        <w:spacing w:after="160" w:before="280"/>
      </w:pPr>
      <w:r>
        <w:rPr>
          <w:rFonts w:ascii="Arial" w:cs="Arial" w:eastAsia="Arial" w:hAnsi="Arial"/>
          <w:b/>
          <w:bCs/>
          <w:color w:val="2E75B6"/>
          <w:sz w:val="26"/>
          <w:szCs w:val="26"/>
        </w:rPr>
        <w:t xml:space="preserve">Priority 1: Immediate Actions (0-90 days)</w:t>
      </w:r>
    </w:p>
    <w:p>
      <w:pPr>
        <w:spacing w:after="120"/>
      </w:pPr>
      <w:r>
        <w:rPr>
          <w:rFonts w:ascii="Arial" w:cs="Arial" w:eastAsia="Arial" w:hAnsi="Arial"/>
          <w:b/>
          <w:bCs/>
          <w:sz w:val="20"/>
          <w:szCs w:val="20"/>
        </w:rPr>
        <w:t xml:space="preserve">1. Gjakove Emergency Intervention</w:t>
      </w:r>
    </w:p>
    <w:p>
      <w:pPr>
        <w:spacing w:after="120"/>
      </w:pPr>
      <w:r>
        <w:rPr>
          <w:rFonts w:ascii="Arial" w:cs="Arial" w:eastAsia="Arial" w:hAnsi="Arial"/>
          <w:sz w:val="20"/>
          <w:szCs w:val="20"/>
        </w:rPr>
        <w:t xml:space="preserve">Dispatch review team. Contact lost business clients. Deploy experienced RM. Stop the bleeding.</w:t>
      </w:r>
    </w:p>
    <w:p>
      <w:pPr>
        <w:spacing w:after="120"/>
      </w:pPr>
      <w:r>
        <w:rPr>
          <w:rFonts w:ascii="Arial" w:cs="Arial" w:eastAsia="Arial" w:hAnsi="Arial"/>
          <w:b/>
          <w:bCs/>
          <w:sz w:val="20"/>
          <w:szCs w:val="20"/>
        </w:rPr>
        <w:t xml:space="preserve">2. Prizren Commercial Offensive</w:t>
      </w:r>
    </w:p>
    <w:p>
      <w:pPr>
        <w:spacing w:after="120"/>
      </w:pPr>
      <w:r>
        <w:rPr>
          <w:rFonts w:ascii="Arial" w:cs="Arial" w:eastAsia="Arial" w:hAnsi="Arial"/>
          <w:sz w:val="20"/>
          <w:szCs w:val="20"/>
        </w:rPr>
        <w:t xml:space="preserve">Launch dedicated acquisition campaign. Deploy additional RM. POS blitz. Digital push.</w:t>
      </w:r>
    </w:p>
    <w:p>
      <w:pPr>
        <w:spacing w:after="120"/>
      </w:pPr>
      <w:r>
        <w:rPr>
          <w:rFonts w:ascii="Arial" w:cs="Arial" w:eastAsia="Arial" w:hAnsi="Arial"/>
          <w:b/>
          <w:bCs/>
          <w:sz w:val="20"/>
          <w:szCs w:val="20"/>
        </w:rPr>
        <w:t xml:space="preserve">3. Network-Wide Digital Activation</w:t>
      </w:r>
    </w:p>
    <w:p>
      <w:pPr>
        <w:spacing w:after="120"/>
      </w:pPr>
      <w:r>
        <w:rPr>
          <w:rFonts w:ascii="Arial" w:cs="Arial" w:eastAsia="Arial" w:hAnsi="Arial"/>
          <w:sz w:val="20"/>
          <w:szCs w:val="20"/>
        </w:rPr>
        <w:t xml:space="preserve">M-Banking activation mandate at every client touchpoint. Branch-level digital targets.</w:t>
      </w:r>
    </w:p>
    <w:p>
      <w:pPr>
        <w:spacing w:after="120"/>
      </w:pPr>
      <w:r>
        <w:rPr>
          <w:rFonts w:ascii="Arial" w:cs="Arial" w:eastAsia="Arial" w:hAnsi="Arial"/>
          <w:b/>
          <w:bCs/>
          <w:sz w:val="20"/>
          <w:szCs w:val="20"/>
        </w:rPr>
        <w:t xml:space="preserve">4. KPI Dashboard Deployment</w:t>
      </w:r>
    </w:p>
    <w:p>
      <w:pPr>
        <w:spacing w:after="120"/>
      </w:pPr>
      <w:r>
        <w:rPr>
          <w:rFonts w:ascii="Arial" w:cs="Arial" w:eastAsia="Arial" w:hAnsi="Arial"/>
          <w:sz w:val="20"/>
          <w:szCs w:val="20"/>
        </w:rPr>
        <w:t xml:space="preserve">Implement branch-level scorecard with weekly tracking. Make penetration metrics visible.</w:t>
      </w:r>
    </w:p>
    <w:p>
      <w:pPr>
        <w:spacing w:after="80"/>
      </w:pPr>
    </w:p>
    <w:p>
      <w:pPr>
        <w:pStyle w:val="Heading2"/>
        <w:spacing w:after="160" w:before="280"/>
      </w:pPr>
      <w:r>
        <w:rPr>
          <w:rFonts w:ascii="Arial" w:cs="Arial" w:eastAsia="Arial" w:hAnsi="Arial"/>
          <w:b/>
          <w:bCs/>
          <w:color w:val="2E75B6"/>
          <w:sz w:val="26"/>
          <w:szCs w:val="26"/>
        </w:rPr>
        <w:t xml:space="preserve">Priority 2: Medium-Term Initiatives (3-12 months)</w:t>
      </w:r>
    </w:p>
    <w:p>
      <w:pPr>
        <w:spacing w:after="120"/>
      </w:pPr>
      <w:r>
        <w:rPr>
          <w:rFonts w:ascii="Arial" w:cs="Arial" w:eastAsia="Arial" w:hAnsi="Arial"/>
          <w:b/>
          <w:bCs/>
          <w:sz w:val="20"/>
          <w:szCs w:val="20"/>
        </w:rPr>
        <w:t xml:space="preserve">5. Business Banking Acceleration</w:t>
      </w:r>
    </w:p>
    <w:p>
      <w:pPr>
        <w:spacing w:after="120"/>
      </w:pPr>
      <w:r>
        <w:rPr>
          <w:rFonts w:ascii="Arial" w:cs="Arial" w:eastAsia="Arial" w:hAnsi="Arial"/>
          <w:sz w:val="20"/>
          <w:szCs w:val="20"/>
        </w:rPr>
        <w:t xml:space="preserve">Deploy dedicated Business RMs in 6 largest markets. Target 20% biz penetration.</w:t>
      </w:r>
    </w:p>
    <w:p>
      <w:pPr>
        <w:spacing w:after="120"/>
      </w:pPr>
      <w:r>
        <w:rPr>
          <w:rFonts w:ascii="Arial" w:cs="Arial" w:eastAsia="Arial" w:hAnsi="Arial"/>
          <w:b/>
          <w:bCs/>
          <w:sz w:val="20"/>
          <w:szCs w:val="20"/>
        </w:rPr>
        <w:t xml:space="preserve">6. Product Cross-Sell Program</w:t>
      </w:r>
    </w:p>
    <w:p>
      <w:pPr>
        <w:spacing w:after="120"/>
      </w:pPr>
      <w:r>
        <w:rPr>
          <w:rFonts w:ascii="Arial" w:cs="Arial" w:eastAsia="Arial" w:hAnsi="Arial"/>
          <w:sz w:val="20"/>
          <w:szCs w:val="20"/>
        </w:rPr>
        <w:t xml:space="preserve">Structured initiative to increase products-per-client. CC and consumer lending focus.</w:t>
      </w:r>
    </w:p>
    <w:p>
      <w:pPr>
        <w:spacing w:after="120"/>
      </w:pPr>
      <w:r>
        <w:rPr>
          <w:rFonts w:ascii="Arial" w:cs="Arial" w:eastAsia="Arial" w:hAnsi="Arial"/>
          <w:b/>
          <w:bCs/>
          <w:sz w:val="20"/>
          <w:szCs w:val="20"/>
        </w:rPr>
        <w:t xml:space="preserve">7. Workforce Rebalancing</w:t>
      </w:r>
    </w:p>
    <w:p>
      <w:pPr>
        <w:spacing w:after="120"/>
      </w:pPr>
      <w:r>
        <w:rPr>
          <w:rFonts w:ascii="Arial" w:cs="Arial" w:eastAsia="Arial" w:hAnsi="Arial"/>
          <w:sz w:val="20"/>
          <w:szCs w:val="20"/>
        </w:rPr>
        <w:t xml:space="preserve">Shift teller capacity to sales/advisory in digitally mature branches.</w:t>
      </w:r>
    </w:p>
    <w:p>
      <w:pPr>
        <w:spacing w:after="120"/>
      </w:pPr>
      <w:r>
        <w:rPr>
          <w:rFonts w:ascii="Arial" w:cs="Arial" w:eastAsia="Arial" w:hAnsi="Arial"/>
          <w:b/>
          <w:bCs/>
          <w:sz w:val="20"/>
          <w:szCs w:val="20"/>
        </w:rPr>
        <w:t xml:space="preserve">8. Light-Format Expansion</w:t>
      </w:r>
    </w:p>
    <w:p>
      <w:pPr>
        <w:spacing w:after="120"/>
      </w:pPr>
      <w:r>
        <w:rPr>
          <w:rFonts w:ascii="Arial" w:cs="Arial" w:eastAsia="Arial" w:hAnsi="Arial"/>
          <w:sz w:val="20"/>
          <w:szCs w:val="20"/>
        </w:rPr>
        <w:t xml:space="preserve">Open service point in Shtime. Pilot light-format in Dragash.</w:t>
      </w:r>
    </w:p>
    <w:p>
      <w:pPr>
        <w:spacing w:after="80"/>
      </w:pPr>
    </w:p>
    <w:p>
      <w:pPr>
        <w:pStyle w:val="Heading2"/>
        <w:spacing w:after="160" w:before="280"/>
      </w:pPr>
      <w:r>
        <w:rPr>
          <w:rFonts w:ascii="Arial" w:cs="Arial" w:eastAsia="Arial" w:hAnsi="Arial"/>
          <w:b/>
          <w:bCs/>
          <w:color w:val="2E75B6"/>
          <w:sz w:val="26"/>
          <w:szCs w:val="26"/>
        </w:rPr>
        <w:t xml:space="preserve">Priority 3: Structural Changes (12+ months)</w:t>
      </w:r>
    </w:p>
    <w:p>
      <w:pPr>
        <w:spacing w:after="120"/>
      </w:pPr>
      <w:r>
        <w:rPr>
          <w:rFonts w:ascii="Arial" w:cs="Arial" w:eastAsia="Arial" w:hAnsi="Arial"/>
          <w:b/>
          <w:bCs/>
          <w:sz w:val="20"/>
          <w:szCs w:val="20"/>
        </w:rPr>
        <w:t xml:space="preserve">9. Network Format Redesign</w:t>
      </w:r>
    </w:p>
    <w:p>
      <w:pPr>
        <w:spacing w:after="120"/>
      </w:pPr>
      <w:r>
        <w:rPr>
          <w:rFonts w:ascii="Arial" w:cs="Arial" w:eastAsia="Arial" w:hAnsi="Arial"/>
          <w:sz w:val="20"/>
          <w:szCs w:val="20"/>
        </w:rPr>
        <w:t xml:space="preserve">Implement ideal branch models. Hub-and-spoke architecture. Digital-first small branches.</w:t>
      </w:r>
    </w:p>
    <w:p>
      <w:pPr>
        <w:spacing w:after="120"/>
      </w:pPr>
      <w:r>
        <w:rPr>
          <w:rFonts w:ascii="Arial" w:cs="Arial" w:eastAsia="Arial" w:hAnsi="Arial"/>
          <w:b/>
          <w:bCs/>
          <w:sz w:val="20"/>
          <w:szCs w:val="20"/>
        </w:rPr>
        <w:t xml:space="preserve">10. Data Infrastructure</w:t>
      </w:r>
    </w:p>
    <w:p>
      <w:pPr>
        <w:spacing w:after="120"/>
      </w:pPr>
      <w:r>
        <w:rPr>
          <w:rFonts w:ascii="Arial" w:cs="Arial" w:eastAsia="Arial" w:hAnsi="Arial"/>
          <w:sz w:val="20"/>
          <w:szCs w:val="20"/>
        </w:rPr>
        <w:t xml:space="preserve">Build branch-level P&amp;L capability. This is the single most important data investment.</w:t>
      </w:r>
    </w:p>
    <w:p>
      <w:pPr>
        <w:spacing w:after="120"/>
      </w:pPr>
      <w:r>
        <w:rPr>
          <w:rFonts w:ascii="Arial" w:cs="Arial" w:eastAsia="Arial" w:hAnsi="Arial"/>
          <w:b/>
          <w:bCs/>
          <w:sz w:val="20"/>
          <w:szCs w:val="20"/>
        </w:rPr>
        <w:t xml:space="preserve">11. Portfolio-Based RM Model</w:t>
      </w:r>
    </w:p>
    <w:p>
      <w:pPr>
        <w:spacing w:after="120"/>
      </w:pPr>
      <w:r>
        <w:rPr>
          <w:rFonts w:ascii="Arial" w:cs="Arial" w:eastAsia="Arial" w:hAnsi="Arial"/>
          <w:sz w:val="20"/>
          <w:szCs w:val="20"/>
        </w:rPr>
        <w:t xml:space="preserve">Move from branch-centric to portfolio-centric business relationship management.</w:t>
      </w:r>
    </w:p>
    <w:p>
      <w:pPr>
        <w:spacing w:after="80"/>
      </w:pPr>
    </w:p>
    <w:p>
      <w:pPr>
        <w:pStyle w:val="Heading2"/>
        <w:spacing w:after="160" w:before="280"/>
      </w:pPr>
      <w:r>
        <w:rPr>
          <w:rFonts w:ascii="Arial" w:cs="Arial" w:eastAsia="Arial" w:hAnsi="Arial"/>
          <w:b/>
          <w:bCs/>
          <w:color w:val="2E75B6"/>
          <w:sz w:val="26"/>
          <w:szCs w:val="26"/>
        </w:rPr>
        <w:t xml:space="preserve">Management Priorities</w:t>
      </w:r>
    </w:p>
    <w:p>
      <w:pPr>
        <w:spacing w:after="120"/>
      </w:pPr>
      <w:r>
        <w:rPr>
          <w:rFonts w:ascii="Arial" w:cs="Arial" w:eastAsia="Arial" w:hAnsi="Arial"/>
          <w:sz w:val="20"/>
          <w:szCs w:val="20"/>
        </w:rPr>
        <w:t xml:space="preserve">The three questions that should dominate the next board discussion:</w:t>
      </w:r>
    </w:p>
    <w:p>
      <w:pPr>
        <w:spacing w:after="120"/>
      </w:pPr>
      <w:r>
        <w:rPr>
          <w:rFonts w:ascii="Arial" w:cs="Arial" w:eastAsia="Arial" w:hAnsi="Arial"/>
          <w:b/>
          <w:bCs/>
          <w:sz w:val="20"/>
          <w:szCs w:val="20"/>
        </w:rPr>
        <w:t xml:space="preserve">1. Why are we underperforming in our two largest regional markets (Prizren, Gjakove)?</w:t>
      </w:r>
    </w:p>
    <w:p>
      <w:pPr>
        <w:spacing w:after="120"/>
      </w:pPr>
      <w:r>
        <w:rPr>
          <w:rFonts w:ascii="Arial" w:cs="Arial" w:eastAsia="Arial" w:hAnsi="Arial"/>
          <w:sz w:val="20"/>
          <w:szCs w:val="20"/>
        </w:rPr>
        <w:t xml:space="preserve">This is not a data question — it is an accountability question. Someone should explain why 14% penetration in a city of 147,000 people has persisted.</w:t>
      </w:r>
    </w:p>
    <w:p>
      <w:pPr>
        <w:spacing w:after="120"/>
      </w:pPr>
      <w:r>
        <w:rPr>
          <w:rFonts w:ascii="Arial" w:cs="Arial" w:eastAsia="Arial" w:hAnsi="Arial"/>
          <w:b/>
          <w:bCs/>
          <w:sz w:val="20"/>
          <w:szCs w:val="20"/>
        </w:rPr>
        <w:t xml:space="preserve">2. Do we have the right people in the right places?</w:t>
      </w:r>
    </w:p>
    <w:p>
      <w:pPr>
        <w:spacing w:after="120"/>
      </w:pPr>
      <w:r>
        <w:rPr>
          <w:rFonts w:ascii="Arial" w:cs="Arial" w:eastAsia="Arial" w:hAnsi="Arial"/>
          <w:sz w:val="20"/>
          <w:szCs w:val="20"/>
        </w:rPr>
        <w:t xml:space="preserve">The branch network's performance variance suggests staffing quality and allocation matters more than branch count.</w:t>
      </w:r>
    </w:p>
    <w:p>
      <w:pPr>
        <w:spacing w:after="120"/>
      </w:pPr>
      <w:r>
        <w:rPr>
          <w:rFonts w:ascii="Arial" w:cs="Arial" w:eastAsia="Arial" w:hAnsi="Arial"/>
          <w:b/>
          <w:bCs/>
          <w:sz w:val="20"/>
          <w:szCs w:val="20"/>
        </w:rPr>
        <w:t xml:space="preserve">3. When will we have branch-level P&amp;L?</w:t>
      </w:r>
    </w:p>
    <w:p>
      <w:pPr>
        <w:spacing w:after="120"/>
      </w:pPr>
      <w:r>
        <w:rPr>
          <w:rFonts w:ascii="Arial" w:cs="Arial" w:eastAsia="Arial" w:hAnsi="Arial"/>
          <w:sz w:val="20"/>
          <w:szCs w:val="20"/>
        </w:rPr>
        <w:t xml:space="preserve">Without it, network optimization is a count-based exercise. With it, we can make EUR-driven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Arial" w:cs="Arial" w:eastAsia="Arial" w:hAnsi="Arial"/>
        <w:i/>
        <w:iCs/>
        <w:color w:val="999999"/>
        <w:sz w:val="16"/>
        <w:szCs w:val="16"/>
      </w:rPr>
      <w:t xml:space="preserve">NLB Kosovo — Scenario Modeling &amp; Deep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2026-03-26T19:28:33.704Z</dcterms:created>
  <dcterms:modified xsi:type="dcterms:W3CDTF">2026-03-26T19:28:33.706Z</dcterms:modified>
</cp:coreProperties>
</file>

<file path=docProps/custom.xml><?xml version="1.0" encoding="utf-8"?>
<Properties xmlns="http://schemas.openxmlformats.org/officeDocument/2006/custom-properties" xmlns:vt="http://schemas.openxmlformats.org/officeDocument/2006/docPropsVTypes"/>
</file>