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304800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2F80ED"/>
          <w:sz w:val="36"/>
          <w:szCs w:val="36"/>
        </w:rPr>
        <w:t xml:space="preserve">Brand Guidelines</w:t>
      </w:r>
    </w:p>
    <w:p>
      <w:pPr>
        <w:spacing w:after="320" w:before="4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Reference for web developer and designer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B1F3B"/>
          <w:sz w:val="30"/>
          <w:szCs w:val="30"/>
        </w:rPr>
        <w:t xml:space="preserve">At a glance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Everything below is sourced from the live prototype CSS. Use these values exactly. If anything in these guidelines conflicts with another source, this document wins.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name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Finwell AI  (always two words; “AI” capitalised)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brand colour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#2F80ED  (AI Blue)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dark colour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#0B1F3B  (Deep Trust navy)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/ highlight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#56CCF2  (Light Blue)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Typeface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  (Google Fonts) — weights 300, 400, 500, 600, 700, 800, 900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 max width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1280px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border radius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12px  (buttons, inputs, cards)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B1F3B"/>
          <w:sz w:val="40"/>
          <w:szCs w:val="40"/>
        </w:rPr>
        <w:t xml:space="preserve">1. Logo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Finwell AI mark is a stylised “F” containing a connected-node graph — representing financial data points being linked by AI. The graph nodes glow against the blue “F” shape, which gives the mark identity on both light and dark backgrounds without needing a container.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Primary mark</w:t>
      </w:r>
    </w:p>
    <w:p>
      <w:pPr>
        <w:spacing w:after="160" w:before="16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Lockup with wordmark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the logo is shown next to the company name, two variants exist — one for light backgrounds and one for dark backgrounds. “Finwell” is set in the prevailing text colour; “AI” is always set in #2F80ED (AI Blue). The brand name is always written “Finwell AI” — two words, sentence case, “AI” in caps.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Light-background version  — use on white and slate-50 surfaces: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429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Dark-background version  — use on Deep Trust navy (#0B1F3B) and the brand dark surfaces: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B1F3B" w:sz="6"/>
              <w:left w:val="single" w:color="0B1F3B" w:sz="6"/>
              <w:bottom w:val="single" w:color="0B1F3B" w:sz="6"/>
              <w:right w:val="single" w:color="0B1F3B" w:sz="6"/>
            </w:tcBorders>
            <w:shd w:fill="0B1F3B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429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body copy and prose, the brand name appears as plain text styled with the prevailing typeface (Inter). It does NOT need to be replaced with the wordmark image every time — the wordmark image is for headers, marketing materials, and prominent brand placements only.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Backgrounds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the mark as supplied (transparent PNG). It works on white, light grey, and the brand dark navy backgrounds (#0B1F3B, #02112E, #00091C).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place a white box, frame, or background behind the mark on dark sections — the mark is designed to glow on dark.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recolour, re-tint, stretch, or rotate the mark.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place the mark on busy photography or coloured backgrounds other than the brand dark navy.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Sizing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 (desktop): 40–48px height.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 (mobile): 32px height.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 / feature placement: 96–140px.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Favicon: 32 or 64px PNG.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size: 24px height. Below this the internal nodes lose definition.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Clear space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Maintain clear space around the mark equal to at least 25% of its height on every side. No type, photography, or graphic element should enter that zone.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B1F3B"/>
          <w:sz w:val="40"/>
          <w:szCs w:val="40"/>
        </w:rPr>
        <w:t xml:space="preserve">2. Colours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hex values below are taken directly from the prototype. Use them verbatim. Do not introduce new colours; if a state or component needs a colour that isn’t listed, ask before adding one.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Brand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4480"/>
      </w:tblGrid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 Trust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#0B1F3B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dark backgrounds; primary text on light surfaces; logo lockup wordmark.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80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Blue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#2F80ED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action colour. All primary buttons, links, accent text, key UI highlights, the “AI” in the wordmark.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C5E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Gradient End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#1C5ED6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Companion to AI Blue. Use as the second stop in primary brand gradients and as the hover state for primary buttons.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6CC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 Blue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#56CCF2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Accent colour for headlines on dark backgrounds, status dots, glow effects, the founding-member callout.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Dark backgrounds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4480"/>
      </w:tblGrid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009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BG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#00091C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Deepest background, used at the page edges of dark sections.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211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BG Mid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#02112E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Mid-tone for dark section gradients, panels-on-dark.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 Trust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#0B1F3B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dark surface tone (also listed under Brand).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Text &amp; neutrals (slate scale)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the slate scale for body text, muted text, and borders. On a white background, body copy is slate-900 (#0F172A). On dark backgrounds, body copy is white at 75–85% opacity — see Typography.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4480"/>
      </w:tblGrid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Slate 50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#F2F3F8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tints, hover states for ghost buttons.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Slate 100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#F1F5F9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Subtle backgrounds, card panels on white.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Slate 200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#E2E8F0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 dividers, faint borders.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BD5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Slate 300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#CBD5E1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border colour for inputs and ghost buttons.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94A3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Slate 400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#94A3B8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Placeholder text, disabled UI.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6474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Slate 500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#64748B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 text, captions.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Slate 600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#475569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Lede paragraphs on light backgrounds.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Slate 900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#0F172A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text colour on white.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Functional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4480"/>
      </w:tblGrid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#27AE60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states, confirmations, deductible flags.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C9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#F2C94C</w:t>
            </w:r>
          </w:p>
        </w:tc>
        <w:tc>
          <w:tcPr>
            <w:tcW w:type="dxa" w:w="4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Caution states only. Do not use as a brand or marketing colour.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Primary brand gradient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Used in the urgent banner, primary CTAs, and hero accents.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CSS:  background: linear-gradient(90deg, #2F80ED 0%, #1C5ED6 100%);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B1F3B"/>
          <w:sz w:val="40"/>
          <w:szCs w:val="40"/>
        </w:rPr>
        <w:t xml:space="preserve">3. Typography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Typeface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Inter, served from Google Fonts. No other typefaces should appear in the product or in marketing without approval.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Required &lt;link&gt; in &lt;head&gt;: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&lt;link rel="preconnect" href="https://fonts.googleapis.com"/&gt;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&lt;link rel="preconnect" href="https://fonts.gstatic.com" crossorigin/&gt;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&lt;link href="https://fonts.googleapis.com/css2?family=Inter:wght@300;400;500;600;700;800;900&amp;display=swap" rel="stylesheet"/&gt;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Font stack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font-family: 'Inter', -apple-system, BlinkMacSystemFont, sans-serif;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Type scale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headings use Inter 800 with letter-spacing -0.025em and line-height 1.05. Sizes use clamp() so they scale smoothly between mobile and desktop.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1500"/>
        <w:gridCol w:w="2880"/>
      </w:tblGrid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(CSS)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H1 (hero)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clamp(40px, 6.5vw, 76px)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1.05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Letter-spacing -0.025em.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H2 (section)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clamp(32px, 4.5vw, 56px)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1.05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Letter-spacing -0.025em.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H3 (card)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22px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1.05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for in-card titles.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paragraph copy.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lede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clamp(17px, 2vw, 21px)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1.55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Larger intro paragraph in hero.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lede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clamp(15px, 1.5vw, 17px)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 paragraph below an H2.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Small / caption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13–14px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500–600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Eyebrows, badges, footnotes.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Text colour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white background: body text #0F172A (slate-900). Lede paragraphs #475569 (slate-600). Captions #64748B (slate-500).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dark navy background: body text white at 80% opacity — rgba(255, 255, 255, 0.8). Lede paragraphs use rgba(219, 234, 254, 0.75) (a faint blue-white tint).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Headline accent words use #56CCF2 (Light Blue) on dark backgrounds, #2F80ED (AI Blue) on light backgrounds.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use pure black (#000) for text. Use slate-900 (#0F172A).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B1F3B"/>
          <w:sz w:val="40"/>
          <w:szCs w:val="40"/>
        </w:rPr>
        <w:t xml:space="preserve">4. Buttons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Four button styles. All share the same base shape: 14px font, weight 600, padding 14px 24px, border-radius 12px, transition 0.18s ease.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Primary  — main call-to-action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#2F80ED  (AI Blue)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colour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Box shadow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 10px 25px -8px rgba(47, 128, 237, 0.5)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background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#1C5ED6  (Gradient End)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transform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translateY(-1px)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shadow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 14px 30px -8px rgba(47, 128, 237, 0.6)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Secondary  — use on dark backgrounds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rgba(255, 255, 255, 0.08)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colour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1px solid rgba(255, 255, 255, 0.15)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background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rgba(255, 255, 255, 0.14)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border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1px solid rgba(255, 255, 255, 0.25)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Light  — inverted, high-emphasis on dark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colour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#0B1F3B  (Deep Trust)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Box shadow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 10px 25px -8px rgba(0, 0, 0, 0.2)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background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#EFF6FF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Ghost  — tertiary, on light backgrounds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transparent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colour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#0B1F3B  (Deep Trust)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1px solid #CBD5E1  (Slate 300)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background</w:t>
            </w:r>
          </w:p>
        </w:tc>
        <w:tc>
          <w:tcPr>
            <w:tcW w:type="dxa" w:w="7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#F2F3F8  (Slate 50)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B1F3B"/>
          <w:sz w:val="40"/>
          <w:szCs w:val="40"/>
        </w:rPr>
        <w:t xml:space="preserve">5. Layout &amp; spacing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Container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Maximum content width is 1280px. Centre horizontally with auto margins. Section side padding: 24px on mobile, 48px on tablet+, 80px+ on wide desktop.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max-width: 1280px;  margin: 0 auto;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Border radius scale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  <w:tc>
          <w:tcPr>
            <w:tcW w:type="dxa" w:w="5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Inputs, chips, small badges.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dxa" w:w="5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Buttons, cards, dropdowns. This is the default — use unless you have a reason not to.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Large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dxa" w:w="5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Larger panels, feature cards.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20–24px</w:t>
            </w:r>
          </w:p>
        </w:tc>
        <w:tc>
          <w:tcPr>
            <w:tcW w:type="dxa" w:w="5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glass panels, large illustrative blocks.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999px</w:t>
            </w:r>
          </w:p>
        </w:tc>
        <w:tc>
          <w:tcPr>
            <w:tcW w:type="dxa" w:w="5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Eyebrow chips, status pills, the hero feature pill.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Section padding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section: padding 100px top, 100px bottom on desktop; 70px top/bottom on screens ≤ 768px.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 section: extra padding-top to clear the sticky banner + header (≈ 80px combined).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80ED"/>
          <w:sz w:val="24"/>
          <w:szCs w:val="24"/>
        </w:rPr>
        <w:t xml:space="preserve">Iconography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icons in the product are stroke-based SVGs: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Stroke width: 2px (3px for emphasised checkmarks inside coloured circles).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Stroke caps and joins: round.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Source: Lucide / Feather icon set, or matching custom SVGs.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colour: inherits from currentColor, so the icon takes the parent text colour.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use filled or two-tone icon styles.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B1F3B"/>
          <w:sz w:val="40"/>
          <w:szCs w:val="40"/>
        </w:rPr>
        <w:t xml:space="preserve">6. Things to avoid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break the brand. Do not do them.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use pure black (#000) anywhere. Use #0F172A (slate-900) for body text and #0B1F3B (Deep Trust) for dark surfaces.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introduce new colours. The palette in section 2 covers every state needed.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use a different typeface. Inter only.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stretch, recolour, or rotate the logo.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add a white box, shadow, or background plate behind the logo on dark sections.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write “FinwellAI”, “finwell ai”, or “FINWELL AI”. The brand name is “Finwell AI” — two words, sentence case, “AI” in caps.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use sharp 90° corners on cards or buttons. The default radius is 12px.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use Australian-flag-coloured banners, dollar-sign motifs, or generic finance stock photography. The brand identity is built around AI and circuit / connection imagery, not legacy finance.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B1F3B"/>
          <w:sz w:val="40"/>
          <w:szCs w:val="40"/>
        </w:rPr>
        <w:t xml:space="preserve">7. Files supplied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files accompany this document. Use them verbatim — do not regenerate, recolour, or recompress.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680"/>
      </w:tblGrid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finwell_logo_master.png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PNG, transparent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F-mark. Source-of-truth, full resolution. Use as the source for any future resizes or variants.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finwell_logo_512.png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PNG, transparent, 512×512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web display size. Header, hero, social cards.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finwell_logo_favicon_64.png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PNG, transparent, 64×64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tab icon, app icon. Reference in &lt;head&gt; as the favicon.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finwell_wordmark_light_master.png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PNG, transparent, 4083×801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“Finwell AI” wordmark with navy + AI Blue, for light backgrounds. Source-of-truth, full resolution. Use as the source for any future resizes or print artwork.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finwell_wordmark_light.png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PNG, transparent, 1600w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Web-ready light-background wordmark. Use directly in HTML/CSS — retina-friendly at typical header and hero sizes. Scale down with CSS as needed.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finwell_wordmark_dark_master.png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PNG, transparent, 4083×801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“Finwell AI” wordmark with white + AI Blue, for dark navy backgrounds. Source-of-truth, full resolution.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finwell_wordmark_dark.png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PNG, transparent, 1600w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Web-ready dark-background wordmark. Use directly in HTML/CSS — retina-friendly at typical header and hero sizes.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finwellai_prototype_v5.html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Live, interactive design reference. Every visual decision in this document can be cross-referenced against this file. If anything is ambiguous, open the prototype.</w:t>
            </w:r>
          </w:p>
        </w:tc>
      </w:tr>
    </w:tbl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— End of brand guidelines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Finwell AI  · 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0B1F3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B1F3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80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9d34b890bcd691a69f117d6fb5ead0682573c7.png"/><Relationship Id="rId10" Type="http://schemas.openxmlformats.org/officeDocument/2006/relationships/image" Target="media/75f13c9cb04f984fd73c3ce590b0d1838510b702.png"/><Relationship Id="rId11" Type="http://schemas.openxmlformats.org/officeDocument/2006/relationships/image" Target="media/8b7a03c6b9dad4b307c93e0ada5d10079aaf394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Finwell AI Brand Guidelines</dc:title>
  <dc:creator>Finwell AI</dc:creator>
  <cp:lastModifiedBy>Un-named</cp:lastModifiedBy>
  <cp:revision>1</cp:revision>
  <dcterms:created xsi:type="dcterms:W3CDTF">2026-05-06T07:11:41.742Z</dcterms:created>
  <dcterms:modified xsi:type="dcterms:W3CDTF">2026-05-06T07:11:41.743Z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