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985779291"/>
        <w:docPartObj>
          <w:docPartGallery w:val="Cover Pages"/>
          <w:docPartUnique/>
        </w:docPartObj>
      </w:sdtPr>
      <w:sdtEndPr/>
      <w:sdtContent>
        <w:p w14:paraId="6A1B44D5" w14:textId="07A03B83" w:rsidR="006D704A" w:rsidRPr="00BB399F" w:rsidRDefault="006D704A">
          <w:pPr>
            <w:rPr>
              <w:lang w:val="en-GB"/>
            </w:rPr>
          </w:pPr>
          <w:r w:rsidRPr="00BB399F">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39192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39192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39192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39192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sidRPr="00BB399F">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sidRPr="00BB399F">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B399F">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B399F">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Pr="00BB399F" w:rsidRDefault="006D704A">
          <w:pPr>
            <w:rPr>
              <w:lang w:val="en-GB"/>
            </w:rPr>
          </w:pPr>
          <w:r w:rsidRPr="00BB399F">
            <w:rPr>
              <w:lang w:val="en-GB"/>
            </w:rPr>
            <w:br w:type="page"/>
          </w:r>
        </w:p>
      </w:sdtContent>
    </w:sdt>
    <w:sdt>
      <w:sdtPr>
        <w:rPr>
          <w:rFonts w:asciiTheme="minorHAnsi" w:eastAsiaTheme="minorHAnsi" w:hAnsiTheme="minorHAnsi" w:cstheme="minorBidi"/>
          <w:color w:val="auto"/>
          <w:sz w:val="22"/>
          <w:szCs w:val="22"/>
          <w:lang w:val="en-GB"/>
        </w:rPr>
        <w:id w:val="-391891680"/>
        <w:docPartObj>
          <w:docPartGallery w:val="Table of Contents"/>
          <w:docPartUnique/>
        </w:docPartObj>
      </w:sdtPr>
      <w:sdtEndPr>
        <w:rPr>
          <w:b/>
          <w:bCs/>
          <w:noProof/>
        </w:rPr>
      </w:sdtEndPr>
      <w:sdtContent>
        <w:p w14:paraId="032B6614" w14:textId="6FB0FFCE" w:rsidR="00155618" w:rsidRPr="00BB399F" w:rsidRDefault="00155618">
          <w:pPr>
            <w:pStyle w:val="TOCHeading"/>
            <w:rPr>
              <w:lang w:val="en-GB"/>
            </w:rPr>
          </w:pPr>
          <w:r w:rsidRPr="00BB399F">
            <w:rPr>
              <w:lang w:val="en-GB"/>
            </w:rPr>
            <w:t>Contents</w:t>
          </w:r>
        </w:p>
        <w:p w14:paraId="32F7B0DC" w14:textId="64FA4189" w:rsidR="00155618" w:rsidRPr="00BB399F" w:rsidRDefault="0039192A">
          <w:pPr>
            <w:rPr>
              <w:lang w:val="en-GB"/>
            </w:rPr>
          </w:pPr>
          <w:r w:rsidRPr="00BB399F">
            <w:rPr>
              <w:lang w:val="en-GB"/>
            </w:rPr>
            <w:fldChar w:fldCharType="begin"/>
          </w:r>
          <w:r w:rsidRPr="00BB399F">
            <w:rPr>
              <w:lang w:val="en-GB"/>
            </w:rPr>
            <w:instrText xml:space="preserve"> TOC \o "1-3" \h \z \u </w:instrText>
          </w:r>
          <w:r w:rsidRPr="00BB399F">
            <w:rPr>
              <w:lang w:val="en-GB"/>
            </w:rPr>
            <w:fldChar w:fldCharType="separate"/>
          </w:r>
          <w:r w:rsidR="00155618" w:rsidRPr="00BB399F">
            <w:rPr>
              <w:b/>
              <w:bCs/>
              <w:noProof/>
              <w:lang w:val="en-GB"/>
            </w:rPr>
            <w:t>No table of contents entries found.</w:t>
          </w:r>
          <w:r w:rsidRPr="00BB399F">
            <w:rPr>
              <w:b/>
              <w:bCs/>
              <w:noProof/>
              <w:lang w:val="en-GB"/>
            </w:rPr>
            <w:fldChar w:fldCharType="end"/>
          </w:r>
        </w:p>
      </w:sdtContent>
    </w:sdt>
    <w:p w14:paraId="0A9C3881" w14:textId="2AEAD7B6" w:rsidR="00155618" w:rsidRPr="00BB399F" w:rsidRDefault="00155618">
      <w:pPr>
        <w:rPr>
          <w:lang w:val="en-GB"/>
        </w:rPr>
      </w:pPr>
      <w:r w:rsidRPr="00BB399F">
        <w:rPr>
          <w:lang w:val="en-GB"/>
        </w:rPr>
        <w:br w:type="page"/>
      </w:r>
    </w:p>
    <w:p w14:paraId="7C8A8E17" w14:textId="77777777" w:rsidR="00155618" w:rsidRPr="00BB399F" w:rsidRDefault="00155618" w:rsidP="00155618">
      <w:pPr>
        <w:pStyle w:val="Heading1"/>
        <w:rPr>
          <w:lang w:val="en-GB"/>
        </w:rPr>
      </w:pPr>
      <w:r w:rsidRPr="00BB399F">
        <w:rPr>
          <w:lang w:val="en-GB"/>
        </w:rPr>
        <w:lastRenderedPageBreak/>
        <w:t>Setting-Up a Plugin in Unreal Engine 4 (UE4)</w:t>
      </w:r>
    </w:p>
    <w:p w14:paraId="665F4681" w14:textId="77777777" w:rsidR="0095272F" w:rsidRPr="00BB399F" w:rsidRDefault="00AA1184">
      <w:pPr>
        <w:rPr>
          <w:lang w:val="en-GB"/>
        </w:rPr>
      </w:pPr>
      <w:r w:rsidRPr="00BB399F">
        <w:rPr>
          <w:lang w:val="en-GB"/>
        </w:rPr>
        <w:t>To start off, I initiated the creation of a toolbar plugin, providing me with a base plugin, t</w:t>
      </w:r>
      <w:r w:rsidR="0095272F" w:rsidRPr="00BB399F">
        <w:rPr>
          <w:lang w:val="en-GB"/>
        </w:rPr>
        <w:t>hat I could build the Balanced FPS Level Generator on top of.</w:t>
      </w:r>
    </w:p>
    <w:p w14:paraId="5501FCCB" w14:textId="77777777" w:rsidR="00D64778" w:rsidRPr="00BB399F" w:rsidRDefault="0095272F">
      <w:pPr>
        <w:rPr>
          <w:lang w:val="en-GB"/>
        </w:rPr>
      </w:pPr>
      <w:r w:rsidRPr="00BB399F">
        <w:rPr>
          <w:lang w:val="en-GB"/>
        </w:rPr>
        <w:t xml:space="preserve">After attempting to have a sub-menu display to the user, </w:t>
      </w:r>
      <w:r w:rsidR="00D64778" w:rsidRPr="00BB399F">
        <w:rPr>
          <w:lang w:val="en-GB"/>
        </w:rPr>
        <w:t>via the button added to the top tool-bar of the editor, I decided it would make more sense to extend the editor’s menu listings (up to the top left corner of the default editor window).</w:t>
      </w:r>
    </w:p>
    <w:p w14:paraId="50C9E934" w14:textId="196D8EA0" w:rsidR="00D64778" w:rsidRPr="00BB399F" w:rsidRDefault="00D64778">
      <w:pPr>
        <w:rPr>
          <w:lang w:val="en-GB"/>
        </w:rPr>
      </w:pPr>
      <w:r w:rsidRPr="00BB399F">
        <w:rPr>
          <w:lang w:val="en-GB"/>
        </w:rPr>
        <w:t xml:space="preserve">For this, I followed a Live Training video, entitled ‘C++ Extending the Editor’, which has shown me how </w:t>
      </w:r>
      <w:r w:rsidR="009F768B" w:rsidRPr="00BB399F">
        <w:rPr>
          <w:lang w:val="en-GB"/>
        </w:rPr>
        <w:t xml:space="preserve">to </w:t>
      </w:r>
      <w:r w:rsidRPr="00BB399F">
        <w:rPr>
          <w:lang w:val="en-GB"/>
        </w:rPr>
        <w:t xml:space="preserve">add custom menu options, to the menu items list (for the </w:t>
      </w:r>
      <w:r w:rsidR="009B6DE9" w:rsidRPr="00BB399F">
        <w:rPr>
          <w:lang w:val="en-GB"/>
        </w:rPr>
        <w:t>‘E</w:t>
      </w:r>
      <w:r w:rsidRPr="00BB399F">
        <w:rPr>
          <w:lang w:val="en-GB"/>
        </w:rPr>
        <w:t>dit</w:t>
      </w:r>
      <w:r w:rsidR="009B6DE9" w:rsidRPr="00BB399F">
        <w:rPr>
          <w:lang w:val="en-GB"/>
        </w:rPr>
        <w:t>’</w:t>
      </w:r>
      <w:r w:rsidRPr="00BB399F">
        <w:rPr>
          <w:lang w:val="en-GB"/>
        </w:rPr>
        <w:t xml:space="preserve"> sub-menu). </w:t>
      </w:r>
      <w:r w:rsidRPr="00BB399F">
        <w:rPr>
          <w:rStyle w:val="SubtleReference"/>
          <w:lang w:val="en-GB"/>
        </w:rPr>
        <w:t>(Noland, 2015)</w:t>
      </w:r>
    </w:p>
    <w:p w14:paraId="6DD6E705" w14:textId="41C3D0C0" w:rsidR="00B340BF" w:rsidRPr="00BB399F" w:rsidRDefault="00B340BF">
      <w:pPr>
        <w:rPr>
          <w:lang w:val="en-GB"/>
        </w:rPr>
      </w:pPr>
      <w:r w:rsidRPr="00BB399F">
        <w:rPr>
          <w:lang w:val="en-GB"/>
        </w:rPr>
        <w:t xml:space="preserve">This menu item will be added to the custom ‘Procedural’ category, on the ‘Edit’ sub-menu, as shown </w:t>
      </w:r>
      <w:r w:rsidR="0042356B" w:rsidRPr="00BB399F">
        <w:rPr>
          <w:lang w:val="en-GB"/>
        </w:rPr>
        <w:t xml:space="preserve">below </w:t>
      </w:r>
      <w:r w:rsidRPr="00BB399F">
        <w:rPr>
          <w:lang w:val="en-GB"/>
        </w:rPr>
        <w:t xml:space="preserve">(currently a blank box </w:t>
      </w:r>
      <w:r w:rsidR="0042356B" w:rsidRPr="00BB399F">
        <w:rPr>
          <w:lang w:val="en-GB"/>
        </w:rPr>
        <w:t>is shown, as there are</w:t>
      </w:r>
      <w:r w:rsidRPr="00BB399F">
        <w:rPr>
          <w:lang w:val="en-GB"/>
        </w:rPr>
        <w:t xml:space="preserve"> no children of the </w:t>
      </w:r>
      <w:proofErr w:type="spellStart"/>
      <w:r w:rsidRPr="00BB399F">
        <w:rPr>
          <w:lang w:val="en-GB"/>
        </w:rPr>
        <w:t>UBaseEditorTool</w:t>
      </w:r>
      <w:proofErr w:type="spellEnd"/>
      <w:r w:rsidRPr="00BB399F">
        <w:rPr>
          <w:lang w:val="en-GB"/>
        </w:rPr>
        <w:t xml:space="preserve"> class, </w:t>
      </w:r>
      <w:r w:rsidR="0042356B" w:rsidRPr="00BB399F">
        <w:rPr>
          <w:lang w:val="en-GB"/>
        </w:rPr>
        <w:t>to be</w:t>
      </w:r>
      <w:r w:rsidRPr="00BB399F">
        <w:rPr>
          <w:lang w:val="en-GB"/>
        </w:rPr>
        <w:t xml:space="preserve"> displayed in this category</w:t>
      </w:r>
      <w:r w:rsidR="0042356B" w:rsidRPr="00BB399F">
        <w:rPr>
          <w:lang w:val="en-GB"/>
        </w:rPr>
        <w:t>, from which, the Balanced FPS Level Generator will derive from</w:t>
      </w:r>
      <w:r w:rsidRPr="00BB399F">
        <w:rPr>
          <w:lang w:val="en-GB"/>
        </w:rPr>
        <w:t>):</w:t>
      </w:r>
    </w:p>
    <w:p w14:paraId="44C39DC7" w14:textId="1F2B631B" w:rsidR="00B340BF" w:rsidRPr="00BB399F" w:rsidRDefault="00DC418D">
      <w:pPr>
        <w:rPr>
          <w:lang w:val="en-GB"/>
        </w:rPr>
      </w:pPr>
      <w:r w:rsidRPr="00BB399F">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Pr="00BB399F" w:rsidRDefault="00DC418D">
      <w:pPr>
        <w:rPr>
          <w:lang w:val="en-GB"/>
        </w:rPr>
      </w:pPr>
    </w:p>
    <w:p w14:paraId="265301E5" w14:textId="77777777" w:rsidR="00DC418D" w:rsidRPr="00BB399F" w:rsidRDefault="00DC418D">
      <w:pPr>
        <w:rPr>
          <w:lang w:val="en-GB"/>
        </w:rPr>
      </w:pPr>
    </w:p>
    <w:p w14:paraId="18E5F34E" w14:textId="77777777" w:rsidR="00DC418D" w:rsidRPr="00BB399F" w:rsidRDefault="00DC418D">
      <w:pPr>
        <w:rPr>
          <w:lang w:val="en-GB"/>
        </w:rPr>
      </w:pPr>
    </w:p>
    <w:p w14:paraId="32F9D937" w14:textId="77777777" w:rsidR="00DC418D" w:rsidRPr="00BB399F" w:rsidRDefault="00DC418D">
      <w:pPr>
        <w:rPr>
          <w:lang w:val="en-GB"/>
        </w:rPr>
      </w:pPr>
    </w:p>
    <w:p w14:paraId="72362D46" w14:textId="77777777" w:rsidR="00DC418D" w:rsidRPr="00BB399F" w:rsidRDefault="00DC418D">
      <w:pPr>
        <w:rPr>
          <w:lang w:val="en-GB"/>
        </w:rPr>
      </w:pPr>
    </w:p>
    <w:p w14:paraId="2BF2AE23" w14:textId="77777777" w:rsidR="00DC418D" w:rsidRPr="00BB399F" w:rsidRDefault="00DC418D">
      <w:pPr>
        <w:rPr>
          <w:lang w:val="en-GB"/>
        </w:rPr>
      </w:pPr>
    </w:p>
    <w:p w14:paraId="1CAA61C1" w14:textId="77777777" w:rsidR="00DC418D" w:rsidRPr="00BB399F" w:rsidRDefault="00DC418D">
      <w:pPr>
        <w:rPr>
          <w:lang w:val="en-GB"/>
        </w:rPr>
      </w:pPr>
    </w:p>
    <w:p w14:paraId="5341E761" w14:textId="77777777" w:rsidR="00DC418D" w:rsidRPr="00BB399F" w:rsidRDefault="00DC418D">
      <w:pPr>
        <w:rPr>
          <w:lang w:val="en-GB"/>
        </w:rPr>
      </w:pPr>
    </w:p>
    <w:p w14:paraId="629C96D8" w14:textId="77777777" w:rsidR="00DC418D" w:rsidRPr="00BB399F" w:rsidRDefault="00DC418D">
      <w:pPr>
        <w:rPr>
          <w:lang w:val="en-GB"/>
        </w:rPr>
      </w:pPr>
    </w:p>
    <w:p w14:paraId="23ADD90D" w14:textId="77777777" w:rsidR="00DC418D" w:rsidRPr="00BB399F" w:rsidRDefault="00DC418D">
      <w:pPr>
        <w:rPr>
          <w:lang w:val="en-GB"/>
        </w:rPr>
      </w:pPr>
    </w:p>
    <w:p w14:paraId="650EC807" w14:textId="77777777" w:rsidR="00DC418D" w:rsidRPr="00BB399F" w:rsidRDefault="00DC418D">
      <w:pPr>
        <w:rPr>
          <w:lang w:val="en-GB"/>
        </w:rPr>
      </w:pPr>
    </w:p>
    <w:p w14:paraId="7A94AB80" w14:textId="77777777" w:rsidR="00DC418D" w:rsidRPr="00BB399F" w:rsidRDefault="00DC418D">
      <w:pPr>
        <w:rPr>
          <w:lang w:val="en-GB"/>
        </w:rPr>
      </w:pPr>
    </w:p>
    <w:p w14:paraId="53DF2D0B" w14:textId="77777777" w:rsidR="00DC418D" w:rsidRPr="00BB399F" w:rsidRDefault="00DC418D">
      <w:pPr>
        <w:rPr>
          <w:lang w:val="en-GB"/>
        </w:rPr>
      </w:pPr>
    </w:p>
    <w:p w14:paraId="1D054368" w14:textId="77777777" w:rsidR="009454FE" w:rsidRPr="00BB399F" w:rsidRDefault="009454FE">
      <w:pPr>
        <w:rPr>
          <w:lang w:val="en-GB"/>
        </w:rPr>
      </w:pPr>
    </w:p>
    <w:p w14:paraId="521BFB02" w14:textId="77777777" w:rsidR="009454FE" w:rsidRPr="00BB399F" w:rsidRDefault="009454FE">
      <w:pPr>
        <w:rPr>
          <w:lang w:val="en-GB"/>
        </w:rPr>
      </w:pPr>
    </w:p>
    <w:p w14:paraId="470576A9" w14:textId="77777777" w:rsidR="009454FE" w:rsidRPr="00BB399F" w:rsidRDefault="009454FE">
      <w:pPr>
        <w:rPr>
          <w:lang w:val="en-GB"/>
        </w:rPr>
      </w:pPr>
    </w:p>
    <w:p w14:paraId="7671A0D4" w14:textId="77777777" w:rsidR="009454FE" w:rsidRPr="00BB399F" w:rsidRDefault="009454FE">
      <w:pPr>
        <w:rPr>
          <w:lang w:val="en-GB"/>
        </w:rPr>
      </w:pPr>
    </w:p>
    <w:p w14:paraId="6351D70D" w14:textId="77777777" w:rsidR="009454FE" w:rsidRPr="00BB399F" w:rsidRDefault="009454FE">
      <w:pPr>
        <w:rPr>
          <w:lang w:val="en-GB"/>
        </w:rPr>
      </w:pPr>
    </w:p>
    <w:p w14:paraId="759C5B55" w14:textId="476F1D76" w:rsidR="00EF1C16" w:rsidRPr="00BB399F" w:rsidRDefault="00D64778">
      <w:pPr>
        <w:rPr>
          <w:lang w:val="en-GB"/>
        </w:rPr>
      </w:pPr>
      <w:r w:rsidRPr="00BB399F">
        <w:rPr>
          <w:lang w:val="en-GB"/>
        </w:rPr>
        <w:lastRenderedPageBreak/>
        <w:t>This wi</w:t>
      </w:r>
      <w:r w:rsidR="00A47388" w:rsidRPr="00BB399F">
        <w:rPr>
          <w:lang w:val="en-GB"/>
        </w:rPr>
        <w:t>ll then show a</w:t>
      </w:r>
      <w:r w:rsidR="00C17CB0" w:rsidRPr="00BB399F">
        <w:rPr>
          <w:lang w:val="en-GB"/>
        </w:rPr>
        <w:t>n</w:t>
      </w:r>
      <w:r w:rsidR="00A47388" w:rsidRPr="00BB399F">
        <w:rPr>
          <w:lang w:val="en-GB"/>
        </w:rPr>
        <w:t xml:space="preserve"> </w:t>
      </w:r>
      <w:r w:rsidR="00C17CB0" w:rsidRPr="00BB399F">
        <w:rPr>
          <w:lang w:val="en-GB"/>
        </w:rPr>
        <w:t>Edit Properties</w:t>
      </w:r>
      <w:r w:rsidR="00A47388" w:rsidRPr="00BB399F">
        <w:rPr>
          <w:lang w:val="en-GB"/>
        </w:rPr>
        <w:t xml:space="preserve"> </w:t>
      </w:r>
      <w:r w:rsidR="00C17CB0" w:rsidRPr="00BB399F">
        <w:rPr>
          <w:lang w:val="en-GB"/>
        </w:rPr>
        <w:t>dialog</w:t>
      </w:r>
      <w:r w:rsidRPr="00BB399F">
        <w:rPr>
          <w:lang w:val="en-GB"/>
        </w:rPr>
        <w:t xml:space="preserve"> for the user to choose constraints/other settings, before initiating the level generation (such as the area to generate a level in</w:t>
      </w:r>
      <w:r w:rsidR="00606100" w:rsidRPr="00BB399F">
        <w:rPr>
          <w:lang w:val="en-GB"/>
        </w:rPr>
        <w:t xml:space="preserve"> and</w:t>
      </w:r>
      <w:r w:rsidRPr="00BB399F">
        <w:rPr>
          <w:lang w:val="en-GB"/>
        </w:rPr>
        <w:t xml:space="preserve"> bias</w:t>
      </w:r>
      <w:r w:rsidR="00606100" w:rsidRPr="00BB399F">
        <w:rPr>
          <w:lang w:val="en-GB"/>
        </w:rPr>
        <w:t xml:space="preserve"> of the generation for certain aspects of the level)</w:t>
      </w:r>
      <w:r w:rsidR="00EF1C16" w:rsidRPr="00BB399F">
        <w:rPr>
          <w:lang w:val="en-GB"/>
        </w:rPr>
        <w:t>. An example of this is shown below:</w:t>
      </w:r>
    </w:p>
    <w:p w14:paraId="75A9F129" w14:textId="34C24123" w:rsidR="00A26CD1" w:rsidRPr="00BB399F" w:rsidRDefault="00837B02">
      <w:pPr>
        <w:rPr>
          <w:lang w:val="en-GB"/>
        </w:rPr>
      </w:pPr>
      <w:r w:rsidRPr="00BB399F">
        <w:rPr>
          <w:noProof/>
          <w:lang w:val="en-GB"/>
        </w:rPr>
        <w:drawing>
          <wp:anchor distT="0" distB="0" distL="114300" distR="114300" simplePos="0" relativeHeight="251668480" behindDoc="0" locked="0" layoutInCell="1" allowOverlap="1" wp14:anchorId="3B4FCAD3" wp14:editId="4D2343F9">
            <wp:simplePos x="0" y="0"/>
            <wp:positionH relativeFrom="margin">
              <wp:align>left</wp:align>
            </wp:positionH>
            <wp:positionV relativeFrom="paragraph">
              <wp:posOffset>6544</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350" cy="4630436"/>
                    </a:xfrm>
                    <a:prstGeom prst="rect">
                      <a:avLst/>
                    </a:prstGeom>
                    <a:noFill/>
                    <a:ln>
                      <a:noFill/>
                    </a:ln>
                  </pic:spPr>
                </pic:pic>
              </a:graphicData>
            </a:graphic>
            <wp14:sizeRelH relativeFrom="page">
              <wp14:pctWidth>0</wp14:pctWidth>
            </wp14:sizeRelH>
            <wp14:sizeRelV relativeFrom="page">
              <wp14:pctHeight>0</wp14:pctHeight>
            </wp14:sizeRelV>
          </wp:anchor>
        </w:drawing>
      </w:r>
      <w:r w:rsidR="00A26CD1" w:rsidRPr="00BB399F">
        <w:rPr>
          <w:lang w:val="en-GB"/>
        </w:rPr>
        <w:br w:type="page"/>
      </w:r>
    </w:p>
    <w:p w14:paraId="5A1F4167" w14:textId="77777777" w:rsidR="00F324EE" w:rsidRPr="00BB399F" w:rsidRDefault="00F324EE" w:rsidP="00F324EE">
      <w:pPr>
        <w:pStyle w:val="Heading1"/>
        <w:rPr>
          <w:lang w:val="en-GB"/>
        </w:rPr>
      </w:pPr>
      <w:r w:rsidRPr="00BB399F">
        <w:rPr>
          <w:lang w:val="en-GB"/>
        </w:rPr>
        <w:lastRenderedPageBreak/>
        <w:t>Considered Methods for Balancing the Space Filling Algorithm</w:t>
      </w:r>
    </w:p>
    <w:p w14:paraId="6A94114C" w14:textId="03C52EB0" w:rsidR="00546095" w:rsidRPr="00BB399F" w:rsidRDefault="00F324EE" w:rsidP="00F324EE">
      <w:pPr>
        <w:rPr>
          <w:rFonts w:cstheme="minorHAnsi"/>
          <w:lang w:val="en-GB"/>
        </w:rPr>
      </w:pPr>
      <w:r w:rsidRPr="00BB399F">
        <w:rPr>
          <w:rFonts w:cstheme="minorHAnsi"/>
          <w:lang w:val="en-GB"/>
        </w:rPr>
        <w:t>First</w:t>
      </w:r>
      <w:r w:rsidR="00A13004" w:rsidRPr="00BB399F">
        <w:rPr>
          <w:rFonts w:cstheme="minorHAnsi"/>
          <w:lang w:val="en-GB"/>
        </w:rPr>
        <w:t>,</w:t>
      </w:r>
      <w:r w:rsidRPr="00BB399F">
        <w:rPr>
          <w:rFonts w:cstheme="minorHAnsi"/>
          <w:lang w:val="en-GB"/>
        </w:rPr>
        <w:t xml:space="preserve"> looking at a paper, entitled ‘Procedural Generation of Balanced Levels for a 3D Paintball Game’</w:t>
      </w:r>
      <w:r w:rsidR="00546095" w:rsidRPr="00BB399F">
        <w:rPr>
          <w:rFonts w:cstheme="minorHAnsi"/>
          <w:lang w:val="en-GB"/>
        </w:rPr>
        <w:t>.</w:t>
      </w:r>
      <w:r w:rsidRPr="00BB399F">
        <w:rPr>
          <w:rFonts w:cstheme="minorHAnsi"/>
          <w:lang w:val="en-GB"/>
        </w:rPr>
        <w:t xml:space="preserve"> </w:t>
      </w:r>
      <w:r w:rsidRPr="00BB399F">
        <w:rPr>
          <w:rStyle w:val="SubtleReference"/>
          <w:lang w:val="en-GB"/>
        </w:rPr>
        <w:t>(Raul Lara-Cabrera</w:t>
      </w:r>
      <w:r w:rsidR="002D75C2" w:rsidRPr="00BB399F">
        <w:rPr>
          <w:rStyle w:val="SubtleReference"/>
          <w:lang w:val="en-GB"/>
        </w:rPr>
        <w:t xml:space="preserve"> et al</w:t>
      </w:r>
      <w:r w:rsidR="00546095" w:rsidRPr="00BB399F">
        <w:rPr>
          <w:rStyle w:val="SubtleReference"/>
          <w:lang w:val="en-GB"/>
        </w:rPr>
        <w:t>, 2017)</w:t>
      </w:r>
    </w:p>
    <w:p w14:paraId="31EB4A98" w14:textId="320C5276" w:rsidR="002D75C2" w:rsidRPr="00BB399F" w:rsidRDefault="00546095" w:rsidP="00F324EE">
      <w:pPr>
        <w:rPr>
          <w:rFonts w:cstheme="minorHAnsi"/>
          <w:lang w:val="en-GB"/>
        </w:rPr>
      </w:pPr>
      <w:r w:rsidRPr="00BB399F">
        <w:rPr>
          <w:rFonts w:cstheme="minorHAnsi"/>
          <w:lang w:val="en-GB"/>
        </w:rPr>
        <w:t xml:space="preserve">In this paper, the idea of using zones, with edges between the zones (up to a certain </w:t>
      </w:r>
      <w:r w:rsidR="00332C60" w:rsidRPr="00BB399F">
        <w:rPr>
          <w:rFonts w:cstheme="minorHAnsi"/>
          <w:lang w:val="en-GB"/>
        </w:rPr>
        <w:t>threshold</w:t>
      </w:r>
      <w:r w:rsidRPr="00BB399F">
        <w:rPr>
          <w:rFonts w:cstheme="minorHAnsi"/>
          <w:lang w:val="en-GB"/>
        </w:rPr>
        <w:t>)</w:t>
      </w:r>
      <w:r w:rsidR="00BB399F" w:rsidRPr="00BB399F">
        <w:rPr>
          <w:rFonts w:cstheme="minorHAnsi"/>
          <w:lang w:val="en-GB"/>
        </w:rPr>
        <w:t xml:space="preserve"> will be utili</w:t>
      </w:r>
      <w:r w:rsidR="00BB399F">
        <w:rPr>
          <w:rFonts w:cstheme="minorHAnsi"/>
          <w:lang w:val="en-GB"/>
        </w:rPr>
        <w:t>s</w:t>
      </w:r>
      <w:r w:rsidR="00BB399F" w:rsidRPr="00BB399F">
        <w:rPr>
          <w:rFonts w:cstheme="minorHAnsi"/>
          <w:lang w:val="en-GB"/>
        </w:rPr>
        <w:t xml:space="preserve">ed. </w:t>
      </w:r>
      <w:r w:rsidR="00BB399F">
        <w:rPr>
          <w:rFonts w:cstheme="minorHAnsi"/>
          <w:lang w:val="en-GB"/>
        </w:rPr>
        <w:t>A</w:t>
      </w:r>
      <w:r w:rsidRPr="00BB399F">
        <w:rPr>
          <w:rFonts w:cstheme="minorHAnsi"/>
          <w:lang w:val="en-GB"/>
        </w:rPr>
        <w:t xml:space="preserve"> vector representation, </w:t>
      </w:r>
      <w:r w:rsidR="00D22A1D" w:rsidRPr="00BB399F">
        <w:rPr>
          <w:rFonts w:cstheme="minorHAnsi"/>
          <w:lang w:val="en-GB"/>
        </w:rPr>
        <w:t>holding</w:t>
      </w:r>
      <w:r w:rsidRPr="00BB399F">
        <w:rPr>
          <w:rFonts w:cstheme="minorHAnsi"/>
          <w:lang w:val="en-GB"/>
        </w:rPr>
        <w:t xml:space="preserve"> three specific groups of value</w:t>
      </w:r>
      <w:r w:rsidR="00BB399F">
        <w:rPr>
          <w:rFonts w:cstheme="minorHAnsi"/>
          <w:lang w:val="en-GB"/>
        </w:rPr>
        <w:t>s will be used for each zone.</w:t>
      </w:r>
      <w:r w:rsidRPr="00BB399F">
        <w:rPr>
          <w:rFonts w:cstheme="minorHAnsi"/>
          <w:lang w:val="en-GB"/>
        </w:rPr>
        <w:t xml:space="preserve"> First, the coordinates of the zone, then the density of obstacles in that zone and finally, the density of obstacles for edges</w:t>
      </w:r>
      <w:r w:rsidR="00BB399F">
        <w:rPr>
          <w:rFonts w:cstheme="minorHAnsi"/>
          <w:lang w:val="en-GB"/>
        </w:rPr>
        <w:t>, are taken into consideration</w:t>
      </w:r>
      <w:r w:rsidRPr="00BB399F">
        <w:rPr>
          <w:rFonts w:cstheme="minorHAnsi"/>
          <w:lang w:val="en-GB"/>
        </w:rPr>
        <w:t xml:space="preserve">. </w:t>
      </w:r>
      <w:r w:rsidR="002D75C2" w:rsidRPr="00BB399F">
        <w:rPr>
          <w:rStyle w:val="SubtleReference"/>
          <w:lang w:val="en-GB"/>
        </w:rPr>
        <w:t>(Raul Lara-Cabrera et al, 2017)</w:t>
      </w:r>
    </w:p>
    <w:p w14:paraId="795DA515" w14:textId="7994C66B" w:rsidR="002D75C2" w:rsidRPr="00BB399F" w:rsidRDefault="002D75C2" w:rsidP="00F324EE">
      <w:pPr>
        <w:rPr>
          <w:rFonts w:cstheme="minorHAnsi"/>
          <w:lang w:val="en-GB"/>
        </w:rPr>
      </w:pPr>
      <w:proofErr w:type="gramStart"/>
      <w:r w:rsidRPr="00BB399F">
        <w:rPr>
          <w:rFonts w:cstheme="minorHAnsi"/>
          <w:lang w:val="en-GB"/>
        </w:rPr>
        <w:t>In order to</w:t>
      </w:r>
      <w:proofErr w:type="gramEnd"/>
      <w:r w:rsidRPr="00BB399F">
        <w:rPr>
          <w:rFonts w:cstheme="minorHAnsi"/>
          <w:lang w:val="en-GB"/>
        </w:rPr>
        <w:t xml:space="preserve"> maintain a balanced map (level), with no clear advantage for either team, </w:t>
      </w:r>
      <w:r w:rsidR="00332C60" w:rsidRPr="00BB399F">
        <w:rPr>
          <w:rFonts w:cstheme="minorHAnsi"/>
          <w:lang w:val="en-GB"/>
        </w:rPr>
        <w:t>coefficients</w:t>
      </w:r>
      <w:r w:rsidRPr="00BB399F">
        <w:rPr>
          <w:rFonts w:cstheme="minorHAnsi"/>
          <w:lang w:val="en-GB"/>
        </w:rPr>
        <w:t xml:space="preserve"> for defensiveness, flanking and dispersion </w:t>
      </w:r>
      <w:r w:rsidR="005F6AA2" w:rsidRPr="00BB399F">
        <w:rPr>
          <w:rFonts w:cstheme="minorHAnsi"/>
          <w:lang w:val="en-GB"/>
        </w:rPr>
        <w:t>are used</w:t>
      </w:r>
      <w:r w:rsidRPr="00BB399F">
        <w:rPr>
          <w:rFonts w:cstheme="minorHAnsi"/>
          <w:lang w:val="en-GB"/>
        </w:rPr>
        <w:t xml:space="preserve">, along with the mean and standard deviation of the defensiveness and flanking values of the zones. </w:t>
      </w:r>
      <w:r w:rsidRPr="00BB399F">
        <w:rPr>
          <w:rStyle w:val="SubtleReference"/>
          <w:lang w:val="en-GB"/>
        </w:rPr>
        <w:t>(Raul Lara-Cabrera et al, 2017)</w:t>
      </w:r>
    </w:p>
    <w:p w14:paraId="5FB21FFD" w14:textId="6889F9D0" w:rsidR="00CD0533" w:rsidRPr="00BB399F" w:rsidRDefault="00CD0533" w:rsidP="00F324EE">
      <w:pPr>
        <w:rPr>
          <w:rFonts w:cstheme="minorHAnsi"/>
          <w:lang w:val="en-GB"/>
        </w:rPr>
      </w:pPr>
      <w:r w:rsidRPr="00BB399F">
        <w:rPr>
          <w:rFonts w:cstheme="minorHAnsi"/>
          <w:lang w:val="en-GB"/>
        </w:rPr>
        <w:t>The defensiveness of a zone, is determined by the following factors:</w:t>
      </w:r>
    </w:p>
    <w:p w14:paraId="104198C0" w14:textId="2A21F65E"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within that zone</w:t>
      </w:r>
    </w:p>
    <w:p w14:paraId="73F539AE" w14:textId="6D892536" w:rsidR="00CD0533" w:rsidRPr="00BB399F" w:rsidRDefault="00CD0533" w:rsidP="00CD0533">
      <w:pPr>
        <w:pStyle w:val="ListParagraph"/>
        <w:numPr>
          <w:ilvl w:val="0"/>
          <w:numId w:val="1"/>
        </w:numPr>
        <w:rPr>
          <w:rFonts w:cstheme="minorHAnsi"/>
          <w:lang w:val="en-GB"/>
        </w:rPr>
      </w:pPr>
      <w:r w:rsidRPr="00BB399F">
        <w:rPr>
          <w:rFonts w:cstheme="minorHAnsi"/>
          <w:lang w:val="en-GB"/>
        </w:rPr>
        <w:t>The density of the obstacles between that zone and the nearest zones (on the edges)</w:t>
      </w:r>
    </w:p>
    <w:p w14:paraId="41658227" w14:textId="54F4E75E" w:rsidR="00CD0533" w:rsidRPr="00BB399F" w:rsidRDefault="00CD0533" w:rsidP="00CD0533">
      <w:pPr>
        <w:pStyle w:val="ListParagraph"/>
        <w:ind w:left="0"/>
        <w:rPr>
          <w:rStyle w:val="SubtleReference"/>
          <w:lang w:val="en-GB"/>
        </w:rPr>
      </w:pPr>
      <w:r w:rsidRPr="00BB399F">
        <w:rPr>
          <w:rStyle w:val="SubtleReference"/>
          <w:lang w:val="en-GB"/>
        </w:rPr>
        <w:t>(Raul Lara-Cabrera et al, 2017)</w:t>
      </w:r>
    </w:p>
    <w:p w14:paraId="525CE69A" w14:textId="51077989" w:rsidR="00E52AA9" w:rsidRPr="00BB399F" w:rsidRDefault="00E52AA9" w:rsidP="00CD0533">
      <w:pPr>
        <w:pStyle w:val="ListParagraph"/>
        <w:ind w:left="0"/>
        <w:rPr>
          <w:rFonts w:cstheme="minorHAnsi"/>
          <w:lang w:val="en-GB"/>
        </w:rPr>
      </w:pPr>
    </w:p>
    <w:p w14:paraId="5B764A05" w14:textId="73B16AB8" w:rsidR="0010267B" w:rsidRDefault="00C35E2B" w:rsidP="00CD0533">
      <w:pPr>
        <w:pStyle w:val="ListParagraph"/>
        <w:ind w:left="0"/>
        <w:rPr>
          <w:rFonts w:cstheme="minorHAnsi"/>
          <w:lang w:val="en-GB"/>
        </w:rPr>
      </w:pPr>
      <w:r>
        <w:rPr>
          <w:rFonts w:cstheme="minorHAnsi"/>
          <w:lang w:val="en-GB"/>
        </w:rPr>
        <w:t>Considerations</w:t>
      </w:r>
      <w:r w:rsidR="0010267B">
        <w:rPr>
          <w:rFonts w:cstheme="minorHAnsi"/>
          <w:lang w:val="en-GB"/>
        </w:rPr>
        <w:t xml:space="preserve"> for the flanking coefficient, are shown on the next page.</w:t>
      </w:r>
    </w:p>
    <w:p w14:paraId="15E08136" w14:textId="60C99EF3" w:rsidR="00E52AA9" w:rsidRPr="00BB399F" w:rsidRDefault="00E52AA9" w:rsidP="00CD0533">
      <w:pPr>
        <w:pStyle w:val="ListParagraph"/>
        <w:ind w:left="0"/>
        <w:rPr>
          <w:rFonts w:cstheme="minorHAnsi"/>
          <w:lang w:val="en-GB"/>
        </w:rPr>
      </w:pPr>
    </w:p>
    <w:p w14:paraId="77408B64" w14:textId="5846302A" w:rsidR="00D22A1D" w:rsidRPr="00BB399F" w:rsidRDefault="00753B3E" w:rsidP="00D22A1D">
      <w:pPr>
        <w:pStyle w:val="ListParagraph"/>
        <w:ind w:left="0"/>
        <w:rPr>
          <w:rStyle w:val="SubtleReference"/>
          <w:lang w:val="en-GB"/>
        </w:rPr>
      </w:pPr>
      <w:r w:rsidRPr="00BB399F">
        <w:rPr>
          <w:rFonts w:cstheme="minorHAnsi"/>
          <w:lang w:val="en-GB"/>
        </w:rPr>
        <w:t>To alter how the level is generated,</w:t>
      </w:r>
      <w:r w:rsidR="00825685" w:rsidRPr="00BB399F">
        <w:rPr>
          <w:rFonts w:cstheme="minorHAnsi"/>
          <w:lang w:val="en-GB"/>
        </w:rPr>
        <w:t xml:space="preserve"> </w:t>
      </w:r>
      <w:r w:rsidRPr="00BB399F">
        <w:rPr>
          <w:rFonts w:cstheme="minorHAnsi"/>
          <w:lang w:val="en-GB"/>
        </w:rPr>
        <w:t xml:space="preserve">the generator will use </w:t>
      </w:r>
      <w:r w:rsidR="009D7BFA" w:rsidRPr="00BB399F">
        <w:rPr>
          <w:rFonts w:cstheme="minorHAnsi"/>
          <w:lang w:val="en-GB"/>
        </w:rPr>
        <w:t xml:space="preserve">a </w:t>
      </w:r>
      <w:r w:rsidRPr="00BB399F">
        <w:rPr>
          <w:rFonts w:cstheme="minorHAnsi"/>
          <w:lang w:val="en-GB"/>
        </w:rPr>
        <w:t>m</w:t>
      </w:r>
      <w:r w:rsidR="00915190" w:rsidRPr="00BB399F">
        <w:rPr>
          <w:rFonts w:cstheme="minorHAnsi"/>
          <w:lang w:val="en-GB"/>
        </w:rPr>
        <w:t>utation</w:t>
      </w:r>
      <w:r w:rsidRPr="00BB399F">
        <w:rPr>
          <w:rFonts w:cstheme="minorHAnsi"/>
          <w:lang w:val="en-GB"/>
        </w:rPr>
        <w:t>-</w:t>
      </w:r>
      <w:r w:rsidR="00915190" w:rsidRPr="00BB399F">
        <w:rPr>
          <w:rFonts w:cstheme="minorHAnsi"/>
          <w:lang w:val="en-GB"/>
        </w:rPr>
        <w:t>operator</w:t>
      </w:r>
      <w:r w:rsidRPr="00BB399F">
        <w:rPr>
          <w:rFonts w:cstheme="minorHAnsi"/>
          <w:lang w:val="en-GB"/>
        </w:rPr>
        <w:t>.</w:t>
      </w:r>
      <w:r w:rsidR="00D22A1D" w:rsidRPr="00BB399F">
        <w:rPr>
          <w:rFonts w:cstheme="minorHAnsi"/>
          <w:lang w:val="en-GB"/>
        </w:rPr>
        <w:t xml:space="preserve"> </w:t>
      </w:r>
      <w:r w:rsidRPr="00BB399F">
        <w:rPr>
          <w:rFonts w:cstheme="minorHAnsi"/>
          <w:lang w:val="en-GB"/>
        </w:rPr>
        <w:t>T</w:t>
      </w:r>
      <w:r w:rsidR="00D22A1D" w:rsidRPr="00BB399F">
        <w:rPr>
          <w:rFonts w:cstheme="minorHAnsi"/>
          <w:lang w:val="en-GB"/>
        </w:rPr>
        <w:t xml:space="preserve">he mutation operator </w:t>
      </w:r>
      <w:r w:rsidRPr="00BB399F">
        <w:rPr>
          <w:rFonts w:cstheme="minorHAnsi"/>
          <w:lang w:val="en-GB"/>
        </w:rPr>
        <w:t>applies</w:t>
      </w:r>
      <w:r w:rsidR="00D22A1D" w:rsidRPr="00BB399F">
        <w:rPr>
          <w:rFonts w:cstheme="minorHAnsi"/>
          <w:lang w:val="en-GB"/>
        </w:rPr>
        <w:t xml:space="preserve"> pseudo-random permutations to the values of an individual vector (as noted in the 2</w:t>
      </w:r>
      <w:r w:rsidR="00D22A1D" w:rsidRPr="00BB399F">
        <w:rPr>
          <w:rFonts w:cstheme="minorHAnsi"/>
          <w:vertAlign w:val="superscript"/>
          <w:lang w:val="en-GB"/>
        </w:rPr>
        <w:t>nd</w:t>
      </w:r>
      <w:r w:rsidR="00D22A1D" w:rsidRPr="00BB399F">
        <w:rPr>
          <w:rFonts w:cstheme="minorHAnsi"/>
          <w:lang w:val="en-GB"/>
        </w:rPr>
        <w:t xml:space="preserve"> paragraph of this section), adding </w:t>
      </w:r>
      <w:r w:rsidR="00EF1C16" w:rsidRPr="00BB399F">
        <w:rPr>
          <w:rFonts w:cstheme="minorHAnsi"/>
          <w:lang w:val="en-GB"/>
        </w:rPr>
        <w:t xml:space="preserve">to </w:t>
      </w:r>
      <w:r w:rsidR="00D22A1D" w:rsidRPr="00BB399F">
        <w:rPr>
          <w:rFonts w:cstheme="minorHAnsi"/>
          <w:lang w:val="en-GB"/>
        </w:rPr>
        <w:t>or multiplying</w:t>
      </w:r>
      <w:r w:rsidR="00EF1C16" w:rsidRPr="00BB399F">
        <w:rPr>
          <w:rFonts w:cstheme="minorHAnsi"/>
          <w:lang w:val="en-GB"/>
        </w:rPr>
        <w:t xml:space="preserve"> by</w:t>
      </w:r>
      <w:r w:rsidR="00D22A1D" w:rsidRPr="00BB399F">
        <w:rPr>
          <w:rFonts w:cstheme="minorHAnsi"/>
          <w:lang w:val="en-GB"/>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sidRPr="00BB399F">
        <w:rPr>
          <w:rFonts w:cstheme="minorHAnsi"/>
          <w:lang w:val="en-GB"/>
        </w:rPr>
        <w:t>FPSLevelGenerator’s</w:t>
      </w:r>
      <w:proofErr w:type="spellEnd"/>
      <w:r w:rsidR="00D22A1D" w:rsidRPr="00BB399F">
        <w:rPr>
          <w:rFonts w:cstheme="minorHAnsi"/>
          <w:lang w:val="en-GB"/>
        </w:rPr>
        <w:t xml:space="preserve"> requirements, the algorithm will </w:t>
      </w:r>
      <w:r w:rsidR="005F6AA2" w:rsidRPr="00BB399F">
        <w:rPr>
          <w:rFonts w:cstheme="minorHAnsi"/>
          <w:lang w:val="en-GB"/>
        </w:rPr>
        <w:t>not consider this vector for the map.</w:t>
      </w:r>
      <w:r w:rsidR="00D22A1D" w:rsidRPr="00BB399F">
        <w:rPr>
          <w:rFonts w:cstheme="minorHAnsi"/>
          <w:lang w:val="en-GB"/>
        </w:rPr>
        <w:t xml:space="preserve"> The map graph is then recalculated after this mutation, to include new edges between zones, if they become close enough because of it.  </w:t>
      </w:r>
      <w:r w:rsidR="00D22A1D" w:rsidRPr="00BB399F">
        <w:rPr>
          <w:rStyle w:val="SubtleReference"/>
          <w:lang w:val="en-GB"/>
        </w:rPr>
        <w:t>(Raul Lara-Cabrera et al, 2017)</w:t>
      </w:r>
    </w:p>
    <w:p w14:paraId="75B002EB" w14:textId="7D9A7061" w:rsidR="00D22A1D" w:rsidRPr="00BB399F" w:rsidRDefault="00D22A1D" w:rsidP="00CD0533">
      <w:pPr>
        <w:pStyle w:val="ListParagraph"/>
        <w:ind w:left="0"/>
        <w:rPr>
          <w:rFonts w:cstheme="minorHAnsi"/>
          <w:lang w:val="en-GB"/>
        </w:rPr>
      </w:pPr>
    </w:p>
    <w:p w14:paraId="28D6364C" w14:textId="48900652" w:rsidR="00D22A1D" w:rsidRPr="00BB399F" w:rsidRDefault="0044711F" w:rsidP="00CD0533">
      <w:pPr>
        <w:pStyle w:val="ListParagraph"/>
        <w:ind w:left="0"/>
        <w:rPr>
          <w:rFonts w:cstheme="minorHAnsi"/>
          <w:lang w:val="en-GB"/>
        </w:rPr>
      </w:pPr>
      <w:r w:rsidRPr="00BB399F">
        <w:rPr>
          <w:rFonts w:cstheme="minorHAnsi"/>
          <w:lang w:val="en-GB"/>
        </w:rPr>
        <w:t>This ties in with Wang Tiles quite well, as a tile and its edges can represent a zone and its edges</w:t>
      </w:r>
      <w:r w:rsidR="006736BE" w:rsidRPr="00BB399F">
        <w:rPr>
          <w:rFonts w:cstheme="minorHAnsi"/>
          <w:lang w:val="en-GB"/>
        </w:rPr>
        <w:t xml:space="preserve">. </w:t>
      </w:r>
    </w:p>
    <w:p w14:paraId="584F572C" w14:textId="7F38CA92" w:rsidR="006736BE" w:rsidRPr="00BB399F" w:rsidRDefault="00EE5016" w:rsidP="00CD0533">
      <w:pPr>
        <w:pStyle w:val="ListParagraph"/>
        <w:ind w:left="0"/>
        <w:rPr>
          <w:rFonts w:cstheme="minorHAnsi"/>
          <w:lang w:val="en-GB"/>
        </w:rPr>
      </w:pPr>
      <w:r w:rsidRPr="00BB399F">
        <w:rPr>
          <w:noProof/>
          <w:lang w:val="en-GB"/>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sidRPr="00BB399F">
        <w:rPr>
          <w:rFonts w:cstheme="minorHAnsi"/>
          <w:lang w:val="en-GB"/>
        </w:rPr>
        <w:t>Using the Defensiveness, Flanking and Dispersion values</w:t>
      </w:r>
      <w:r w:rsidR="00066AD8" w:rsidRPr="00BB399F">
        <w:rPr>
          <w:rFonts w:cstheme="minorHAnsi"/>
          <w:lang w:val="en-GB"/>
        </w:rPr>
        <w:t>, in an equation, to calculate an ‘Overall Compatibility’ value, comes out as follows:</w:t>
      </w:r>
    </w:p>
    <w:p w14:paraId="298ABC2D" w14:textId="1C5836BE" w:rsidR="004A1467" w:rsidRPr="00BB399F" w:rsidRDefault="004A1467" w:rsidP="00EE5016">
      <w:pPr>
        <w:rPr>
          <w:lang w:val="en-GB"/>
        </w:rPr>
      </w:pPr>
    </w:p>
    <w:p w14:paraId="49BB54E8" w14:textId="2AB27557" w:rsidR="004A1467" w:rsidRPr="00BB399F" w:rsidRDefault="004A1467" w:rsidP="004A1467">
      <w:pPr>
        <w:rPr>
          <w:lang w:val="en-GB"/>
        </w:rPr>
      </w:pPr>
    </w:p>
    <w:p w14:paraId="1B4C602D" w14:textId="3BF34E88" w:rsidR="00EE5016" w:rsidRPr="00BB399F" w:rsidRDefault="008F0786" w:rsidP="004A1467">
      <w:pPr>
        <w:rPr>
          <w:lang w:val="en-GB"/>
        </w:rPr>
      </w:pPr>
      <w:r w:rsidRPr="00BB399F">
        <w:rPr>
          <w:rStyle w:val="SubtleReference"/>
          <w:lang w:val="en-GB"/>
        </w:rPr>
        <w:t>(Raul Lara-Cabrera et al, 2017)</w:t>
      </w:r>
    </w:p>
    <w:p w14:paraId="1791CE07" w14:textId="77777777" w:rsidR="00380950" w:rsidRPr="00BB399F" w:rsidRDefault="008F0786" w:rsidP="00380950">
      <w:pPr>
        <w:rPr>
          <w:lang w:val="en-GB"/>
        </w:rPr>
      </w:pPr>
      <w:r w:rsidRPr="00BB399F">
        <w:rPr>
          <w:lang w:val="en-GB"/>
        </w:rPr>
        <w:t xml:space="preserve">Where </w:t>
      </w:r>
      <w:r w:rsidRPr="00BB399F">
        <w:rPr>
          <w:rFonts w:cstheme="minorHAnsi"/>
          <w:lang w:val="en-GB"/>
        </w:rPr>
        <w:t>α</w:t>
      </w:r>
      <w:r w:rsidR="00776A94" w:rsidRPr="00BB399F">
        <w:rPr>
          <w:rFonts w:cstheme="minorHAnsi"/>
          <w:lang w:val="en-GB"/>
        </w:rPr>
        <w:t xml:space="preserve">, </w:t>
      </w:r>
      <w:r w:rsidRPr="00BB399F">
        <w:rPr>
          <w:rFonts w:cstheme="minorHAnsi"/>
          <w:lang w:val="en-GB"/>
        </w:rPr>
        <w:t>β</w:t>
      </w:r>
      <w:r w:rsidR="00776A94" w:rsidRPr="00BB399F">
        <w:rPr>
          <w:rFonts w:cstheme="minorHAnsi"/>
          <w:lang w:val="en-GB"/>
        </w:rPr>
        <w:t xml:space="preserve"> and Γ are </w:t>
      </w:r>
      <w:r w:rsidR="00380950" w:rsidRPr="00BB399F">
        <w:rPr>
          <w:rFonts w:cstheme="minorHAnsi"/>
          <w:lang w:val="en-GB"/>
        </w:rPr>
        <w:t>the coefficients</w:t>
      </w:r>
      <w:r w:rsidR="00776A94" w:rsidRPr="00BB399F">
        <w:rPr>
          <w:rFonts w:cstheme="minorHAnsi"/>
          <w:lang w:val="en-GB"/>
        </w:rPr>
        <w:t xml:space="preserve"> for defensiveness, flanking and dispersion respectively. </w:t>
      </w:r>
      <w:r w:rsidR="00776A94" w:rsidRPr="00BB399F">
        <w:rPr>
          <w:rFonts w:cstheme="minorHAnsi"/>
          <w:sz w:val="28"/>
          <w:lang w:val="en-GB"/>
        </w:rPr>
        <w:t>(µ</w:t>
      </w:r>
      <w:r w:rsidR="00776A94" w:rsidRPr="00BB399F">
        <w:rPr>
          <w:rFonts w:cstheme="minorHAnsi"/>
          <w:sz w:val="28"/>
          <w:vertAlign w:val="subscript"/>
          <w:lang w:val="en-GB"/>
        </w:rPr>
        <w:t xml:space="preserve">d </w:t>
      </w:r>
      <w:r w:rsidR="00776A94" w:rsidRPr="00BB399F">
        <w:rPr>
          <w:rFonts w:cstheme="minorHAnsi"/>
          <w:sz w:val="28"/>
          <w:lang w:val="en-GB"/>
        </w:rPr>
        <w:t>µ</w:t>
      </w:r>
      <w:r w:rsidR="00776A94" w:rsidRPr="00BB399F">
        <w:rPr>
          <w:rFonts w:cstheme="minorHAnsi"/>
          <w:sz w:val="28"/>
          <w:vertAlign w:val="subscript"/>
          <w:lang w:val="en-GB"/>
        </w:rPr>
        <w:t>k</w:t>
      </w:r>
      <w:r w:rsidR="00776A94" w:rsidRPr="00BB399F">
        <w:rPr>
          <w:rFonts w:cstheme="minorHAnsi"/>
          <w:sz w:val="28"/>
          <w:lang w:val="en-GB"/>
        </w:rPr>
        <w:t xml:space="preserve">) </w:t>
      </w:r>
      <w:r w:rsidR="00776A94" w:rsidRPr="00BB399F">
        <w:rPr>
          <w:rFonts w:cstheme="minorHAnsi"/>
          <w:lang w:val="en-GB"/>
        </w:rPr>
        <w:t xml:space="preserve">is the mean and </w:t>
      </w:r>
      <w:r w:rsidR="00776A94" w:rsidRPr="00BB399F">
        <w:rPr>
          <w:rFonts w:cstheme="minorHAnsi"/>
          <w:sz w:val="24"/>
          <w:lang w:val="en-GB"/>
        </w:rPr>
        <w:t>(</w:t>
      </w:r>
      <w:proofErr w:type="spellStart"/>
      <w:r w:rsidR="00776A94" w:rsidRPr="00BB399F">
        <w:rPr>
          <w:rFonts w:cstheme="minorHAnsi"/>
          <w:sz w:val="24"/>
          <w:lang w:val="en-GB"/>
        </w:rPr>
        <w:t>σ</w:t>
      </w:r>
      <w:r w:rsidR="00776A94" w:rsidRPr="00BB399F">
        <w:rPr>
          <w:rFonts w:cstheme="minorHAnsi"/>
          <w:sz w:val="28"/>
          <w:vertAlign w:val="subscript"/>
          <w:lang w:val="en-GB"/>
        </w:rPr>
        <w:t>d</w:t>
      </w:r>
      <w:proofErr w:type="spellEnd"/>
      <w:r w:rsidR="00776A94" w:rsidRPr="00BB399F">
        <w:rPr>
          <w:rFonts w:cstheme="minorHAnsi"/>
          <w:sz w:val="28"/>
          <w:vertAlign w:val="subscript"/>
          <w:lang w:val="en-GB"/>
        </w:rPr>
        <w:t xml:space="preserve">, </w:t>
      </w:r>
      <w:proofErr w:type="spellStart"/>
      <w:r w:rsidR="00776A94" w:rsidRPr="00BB399F">
        <w:rPr>
          <w:rFonts w:cstheme="minorHAnsi"/>
          <w:sz w:val="24"/>
          <w:lang w:val="en-GB"/>
        </w:rPr>
        <w:t>σ</w:t>
      </w:r>
      <w:r w:rsidR="00776A94" w:rsidRPr="00BB399F">
        <w:rPr>
          <w:rFonts w:cstheme="minorHAnsi"/>
          <w:sz w:val="28"/>
          <w:vertAlign w:val="subscript"/>
          <w:lang w:val="en-GB"/>
        </w:rPr>
        <w:t>k</w:t>
      </w:r>
      <w:proofErr w:type="spellEnd"/>
      <w:r w:rsidR="00776A94" w:rsidRPr="00BB399F">
        <w:rPr>
          <w:rFonts w:cstheme="minorHAnsi"/>
          <w:sz w:val="28"/>
          <w:vertAlign w:val="subscript"/>
          <w:lang w:val="en-GB"/>
        </w:rPr>
        <w:t>)</w:t>
      </w:r>
      <w:r w:rsidR="00776A94" w:rsidRPr="00BB399F">
        <w:rPr>
          <w:rFonts w:cstheme="minorHAnsi"/>
          <w:sz w:val="24"/>
          <w:vertAlign w:val="subscript"/>
          <w:lang w:val="en-GB"/>
        </w:rPr>
        <w:t xml:space="preserve"> </w:t>
      </w:r>
      <w:r w:rsidR="00776A94" w:rsidRPr="00BB399F">
        <w:rPr>
          <w:rFonts w:cstheme="minorHAnsi"/>
          <w:lang w:val="en-GB"/>
        </w:rPr>
        <w:t>is the standard deviation, of the defensive and flanking values respectively.</w:t>
      </w:r>
      <w:r w:rsidR="00380950" w:rsidRPr="00BB399F">
        <w:rPr>
          <w:rFonts w:cstheme="minorHAnsi"/>
          <w:lang w:val="en-GB"/>
        </w:rPr>
        <w:t xml:space="preserve"> </w:t>
      </w:r>
      <w:r w:rsidR="00380950" w:rsidRPr="00BB399F">
        <w:rPr>
          <w:rStyle w:val="SubtleReference"/>
          <w:lang w:val="en-GB"/>
        </w:rPr>
        <w:t>(Raul Lara-Cabrera et al, 2017)</w:t>
      </w:r>
    </w:p>
    <w:p w14:paraId="092B1283" w14:textId="77777777" w:rsidR="00000197" w:rsidRDefault="00000197" w:rsidP="004A1467">
      <w:pPr>
        <w:rPr>
          <w:sz w:val="24"/>
          <w:lang w:val="en-GB"/>
        </w:rPr>
      </w:pPr>
    </w:p>
    <w:p w14:paraId="2E930BD7" w14:textId="77777777" w:rsidR="00000197" w:rsidRDefault="00000197" w:rsidP="004A1467">
      <w:pPr>
        <w:rPr>
          <w:sz w:val="24"/>
          <w:lang w:val="en-GB"/>
        </w:rPr>
      </w:pPr>
    </w:p>
    <w:p w14:paraId="0A80AE43" w14:textId="5471D8B2" w:rsidR="00E8141A" w:rsidRDefault="009A3AEA" w:rsidP="004A1467">
      <w:pPr>
        <w:rPr>
          <w:sz w:val="24"/>
          <w:lang w:val="en-GB"/>
        </w:rPr>
      </w:pPr>
      <w:r>
        <w:rPr>
          <w:sz w:val="24"/>
          <w:lang w:val="en-GB"/>
        </w:rPr>
        <w:t>For the defensiveness coefficient</w:t>
      </w:r>
      <w:r w:rsidR="00000197">
        <w:rPr>
          <w:sz w:val="24"/>
          <w:lang w:val="en-GB"/>
        </w:rPr>
        <w:t>, the following equation is used:</w:t>
      </w:r>
    </w:p>
    <w:p w14:paraId="5E1EBDDB" w14:textId="0E738586" w:rsidR="00000197" w:rsidRPr="00000197" w:rsidRDefault="00000197" w:rsidP="004A1467">
      <w:pPr>
        <w:rPr>
          <w:lang w:val="en-GB"/>
        </w:rPr>
      </w:pPr>
      <m:oMath>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i</m:t>
            </m:r>
          </m:sub>
        </m:sSub>
        <m:r>
          <w:rPr>
            <w:rFonts w:ascii="Cambria Math" w:hAnsi="Cambria Math"/>
            <w:sz w:val="24"/>
            <w:lang w:val="en-GB"/>
          </w:rPr>
          <m:t>=</m:t>
        </m:r>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i</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Density</m:t>
                </m:r>
              </m:e>
              <m:sub>
                <m:r>
                  <w:rPr>
                    <w:rFonts w:ascii="Cambria Math" w:hAnsi="Cambria Math"/>
                    <w:sz w:val="24"/>
                    <w:lang w:val="en-GB"/>
                  </w:rPr>
                  <m:t>paths</m:t>
                </m:r>
              </m:sub>
            </m:sSub>
            <m:r>
              <w:rPr>
                <w:rFonts w:ascii="Cambria Math" w:hAnsi="Cambria Math"/>
                <w:sz w:val="24"/>
                <w:lang w:val="en-GB"/>
              </w:rPr>
              <m:t>)</m:t>
            </m:r>
          </m:num>
          <m:den>
            <m:r>
              <w:rPr>
                <w:rFonts w:ascii="Cambria Math" w:hAnsi="Cambria Math"/>
                <w:sz w:val="24"/>
                <w:lang w:val="en-GB"/>
              </w:rPr>
              <m:t>2</m:t>
            </m:r>
          </m:den>
        </m:f>
        <m:r>
          <w:rPr>
            <w:rFonts w:ascii="Cambria Math" w:hAnsi="Cambria Math"/>
            <w:sz w:val="24"/>
            <w:lang w:val="en-GB"/>
          </w:rPr>
          <m:t xml:space="preserve"> </m:t>
        </m:r>
      </m:oMath>
      <w:r>
        <w:rPr>
          <w:rFonts w:eastAsiaTheme="minorEastAsia"/>
          <w:sz w:val="24"/>
          <w:lang w:val="en-GB"/>
        </w:rPr>
        <w:t xml:space="preserve"> </w:t>
      </w:r>
      <w:r w:rsidR="00517357">
        <w:rPr>
          <w:rFonts w:eastAsiaTheme="minorEastAsia"/>
          <w:sz w:val="24"/>
          <w:lang w:val="en-GB"/>
        </w:rPr>
        <w:t xml:space="preserve"> </w:t>
      </w:r>
      <w:r w:rsidRPr="00BB399F">
        <w:rPr>
          <w:rStyle w:val="SubtleReference"/>
          <w:lang w:val="en-GB"/>
        </w:rPr>
        <w:t>(Raul Lara-Cabrera et al, 2017)</w:t>
      </w:r>
    </w:p>
    <w:p w14:paraId="42A71398" w14:textId="77777777" w:rsidR="00000197" w:rsidRDefault="00000197">
      <w:pPr>
        <w:rPr>
          <w:lang w:val="en-GB"/>
        </w:rPr>
      </w:pPr>
      <w:r>
        <w:rPr>
          <w:lang w:val="en-GB"/>
        </w:rPr>
        <w:t>Where the density of obstacles within that zone (</w:t>
      </w:r>
      <w:proofErr w:type="spellStart"/>
      <w:r>
        <w:rPr>
          <w:lang w:val="en-GB"/>
        </w:rPr>
        <w:t>Density</w:t>
      </w:r>
      <w:r>
        <w:rPr>
          <w:vertAlign w:val="subscript"/>
          <w:lang w:val="en-GB"/>
        </w:rPr>
        <w:t>i</w:t>
      </w:r>
      <w:proofErr w:type="spellEnd"/>
      <w:r>
        <w:rPr>
          <w:lang w:val="en-GB"/>
        </w:rPr>
        <w:t>), is calculated with the following equation:</w:t>
      </w:r>
    </w:p>
    <w:p w14:paraId="39A9EF77" w14:textId="2F23E0CB" w:rsidR="00000197" w:rsidRDefault="00000197">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Pr>
          <w:rFonts w:eastAsiaTheme="minorEastAsia"/>
          <w:lang w:val="en-GB"/>
        </w:rPr>
        <w:t xml:space="preserve"> </w:t>
      </w:r>
      <w:r w:rsidR="00517357">
        <w:rPr>
          <w:rFonts w:eastAsiaTheme="minorEastAsia"/>
          <w:lang w:val="en-GB"/>
        </w:rPr>
        <w:t xml:space="preserve"> </w:t>
      </w:r>
      <w:r w:rsidR="00F37C67" w:rsidRPr="00BB399F">
        <w:rPr>
          <w:rStyle w:val="SubtleReference"/>
          <w:lang w:val="en-GB"/>
        </w:rPr>
        <w:t>(Raul Lara-Cabrera et al, 2017)</w:t>
      </w:r>
    </w:p>
    <w:p w14:paraId="3B73F4D9" w14:textId="21434A28" w:rsidR="00F37C67" w:rsidRDefault="00F37C67">
      <w:pPr>
        <w:rPr>
          <w:rFonts w:cstheme="minorHAnsi"/>
          <w:lang w:val="en-GB"/>
        </w:rPr>
      </w:pPr>
      <w:r>
        <w:rPr>
          <w:lang w:val="en-GB"/>
        </w:rPr>
        <w:t xml:space="preserve">With </w:t>
      </w:r>
      <w:proofErr w:type="spellStart"/>
      <w:r>
        <w:rPr>
          <w:rFonts w:cstheme="minorHAnsi"/>
          <w:lang w:val="en-GB"/>
        </w:rPr>
        <w:t>δ</w:t>
      </w:r>
      <w:r>
        <w:rPr>
          <w:vertAlign w:val="subscript"/>
          <w:lang w:val="en-GB"/>
        </w:rPr>
        <w:t>i</w:t>
      </w:r>
      <w:proofErr w:type="spellEnd"/>
      <w:r>
        <w:rPr>
          <w:lang w:val="en-GB"/>
        </w:rPr>
        <w:t xml:space="preserve"> equating to the object density of zone </w:t>
      </w:r>
      <w:proofErr w:type="spellStart"/>
      <w:r>
        <w:rPr>
          <w:lang w:val="en-GB"/>
        </w:rPr>
        <w:t>i</w:t>
      </w:r>
      <w:proofErr w:type="spellEnd"/>
      <w:r>
        <w:rPr>
          <w:lang w:val="en-GB"/>
        </w:rPr>
        <w:t xml:space="preserve"> and </w:t>
      </w:r>
      <w:proofErr w:type="spellStart"/>
      <w:r>
        <w:rPr>
          <w:rFonts w:cstheme="minorHAnsi"/>
          <w:lang w:val="en-GB"/>
        </w:rPr>
        <w:t>δ</w:t>
      </w:r>
      <w:r>
        <w:rPr>
          <w:rFonts w:cstheme="minorHAnsi"/>
          <w:vertAlign w:val="subscript"/>
          <w:lang w:val="en-GB"/>
        </w:rPr>
        <w:t>MAX</w:t>
      </w:r>
      <w:proofErr w:type="spellEnd"/>
      <w:r>
        <w:rPr>
          <w:rFonts w:cstheme="minorHAnsi"/>
          <w:lang w:val="en-GB"/>
        </w:rPr>
        <w:t xml:space="preserve"> equating to the highest density. </w:t>
      </w:r>
    </w:p>
    <w:p w14:paraId="2D8098F4" w14:textId="4948B19A" w:rsidR="00F37C67" w:rsidRDefault="00F37C67">
      <w:pPr>
        <w:rPr>
          <w:lang w:val="en-GB"/>
        </w:rPr>
      </w:pPr>
      <w:r>
        <w:rPr>
          <w:lang w:val="en-GB"/>
        </w:rPr>
        <w:t>For the density of the paths to and from that zone, the following equation is used:</w:t>
      </w:r>
    </w:p>
    <w:p w14:paraId="04D2450E" w14:textId="023B11BB" w:rsidR="00F37C67" w:rsidRDefault="00F37C67">
      <w:pPr>
        <w:rPr>
          <w:rFonts w:eastAsiaTheme="minorEastAsia"/>
          <w:lang w:val="en-GB"/>
        </w:rPr>
      </w:pPr>
      <m:oMath>
        <m:sSub>
          <m:sSubPr>
            <m:ctrlPr>
              <w:rPr>
                <w:rFonts w:ascii="Cambria Math" w:hAnsi="Cambria Math"/>
                <w:i/>
                <w:lang w:val="en-GB"/>
              </w:rPr>
            </m:ctrlPr>
          </m:sSubPr>
          <m:e>
            <m:r>
              <w:rPr>
                <w:rFonts w:ascii="Cambria Math" w:hAnsi="Cambria Math"/>
                <w:lang w:val="en-GB"/>
              </w:rPr>
              <m:t>Density</m:t>
            </m:r>
          </m:e>
          <m:sub>
            <m:r>
              <w:rPr>
                <w:rFonts w:ascii="Cambria Math" w:hAnsi="Cambria Math"/>
                <w:lang w:val="en-GB"/>
              </w:rPr>
              <m:t>paths</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r>
              <w:rPr>
                <w:rFonts w:ascii="Cambria Math" w:hAnsi="Cambria Math"/>
                <w:lang w:val="en-GB"/>
              </w:rPr>
              <m:t xml:space="preserve">- </m:t>
            </m:r>
            <m:sSubSup>
              <m:sSubSupPr>
                <m:ctrlPr>
                  <w:rPr>
                    <w:rFonts w:ascii="Cambria Math" w:hAnsi="Cambria Math"/>
                    <w:i/>
                    <w:lang w:val="en-GB"/>
                  </w:rPr>
                </m:ctrlPr>
              </m:sSubSupPr>
              <m:e>
                <m:r>
                  <m:rPr>
                    <m:sty m:val="p"/>
                  </m:rPr>
                  <w:rPr>
                    <w:rFonts w:ascii="Cambria Math" w:hAnsi="Cambria Math"/>
                    <w:lang w:val="en-GB"/>
                  </w:rPr>
                  <m:t>Σ</m:t>
                </m:r>
              </m:e>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sup>
            </m:sSubSup>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j</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r>
              <w:rPr>
                <w:rFonts w:ascii="Cambria Math" w:hAnsi="Cambria Math"/>
                <w:lang w:val="en-GB"/>
              </w:rPr>
              <m:t>)</m:t>
            </m:r>
          </m:num>
          <m:den>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MAX</m:t>
                </m:r>
              </m:sub>
            </m:sSub>
          </m:den>
        </m:f>
      </m:oMath>
      <w:r w:rsidR="00517357">
        <w:rPr>
          <w:rFonts w:eastAsiaTheme="minorEastAsia"/>
          <w:lang w:val="en-GB"/>
        </w:rPr>
        <w:t xml:space="preserve">  </w:t>
      </w:r>
      <w:r w:rsidR="00517357" w:rsidRPr="00BB399F">
        <w:rPr>
          <w:rStyle w:val="SubtleReference"/>
          <w:lang w:val="en-GB"/>
        </w:rPr>
        <w:t>(Raul Lara-Cabrera et al, 2017)</w:t>
      </w:r>
    </w:p>
    <w:p w14:paraId="52205FFA" w14:textId="4CB2FDC5" w:rsidR="00517357" w:rsidRDefault="00517357">
      <w:pPr>
        <w:rPr>
          <w:rFonts w:cstheme="minorHAnsi"/>
          <w:lang w:val="en-GB"/>
        </w:rPr>
      </w:pPr>
      <w:r>
        <w:rPr>
          <w:lang w:val="en-GB"/>
        </w:rPr>
        <w:t xml:space="preserve">Where </w:t>
      </w:r>
      <w:proofErr w:type="spellStart"/>
      <w:r w:rsidRPr="00517357">
        <w:rPr>
          <w:rFonts w:cstheme="minorHAnsi"/>
          <w:sz w:val="24"/>
          <w:lang w:val="en-GB"/>
        </w:rPr>
        <w:t>γ</w:t>
      </w:r>
      <w:r w:rsidRPr="00517357">
        <w:rPr>
          <w:rFonts w:cstheme="minorHAnsi"/>
          <w:sz w:val="24"/>
          <w:vertAlign w:val="subscript"/>
          <w:lang w:val="en-GB"/>
        </w:rPr>
        <w:t>i</w:t>
      </w:r>
      <w:proofErr w:type="spellEnd"/>
      <w:r>
        <w:rPr>
          <w:rFonts w:cstheme="minorHAnsi"/>
          <w:lang w:val="en-GB"/>
        </w:rPr>
        <w:t xml:space="preserve"> is the density of objects in zone </w:t>
      </w:r>
      <w:proofErr w:type="spellStart"/>
      <w:r>
        <w:rPr>
          <w:rFonts w:cstheme="minorHAnsi"/>
          <w:lang w:val="en-GB"/>
        </w:rPr>
        <w:t>i</w:t>
      </w:r>
      <w:proofErr w:type="spellEnd"/>
      <w:r>
        <w:rPr>
          <w:rFonts w:cstheme="minorHAnsi"/>
          <w:lang w:val="en-GB"/>
        </w:rPr>
        <w:t xml:space="preserve"> and </w:t>
      </w:r>
      <w:proofErr w:type="spellStart"/>
      <w:r w:rsidRPr="00517357">
        <w:rPr>
          <w:rFonts w:cstheme="minorHAnsi"/>
          <w:sz w:val="24"/>
          <w:lang w:val="en-GB"/>
        </w:rPr>
        <w:t>δ</w:t>
      </w:r>
      <w:r w:rsidRPr="00517357">
        <w:rPr>
          <w:rFonts w:cstheme="minorHAnsi"/>
          <w:sz w:val="24"/>
          <w:vertAlign w:val="subscript"/>
          <w:lang w:val="en-GB"/>
        </w:rPr>
        <w:t>j</w:t>
      </w:r>
      <w:proofErr w:type="spellEnd"/>
      <w:r>
        <w:rPr>
          <w:rFonts w:cstheme="minorHAnsi"/>
          <w:sz w:val="24"/>
          <w:vertAlign w:val="subscript"/>
          <w:lang w:val="en-GB"/>
        </w:rPr>
        <w:t xml:space="preserve"> </w:t>
      </w:r>
      <w:r>
        <w:rPr>
          <w:rFonts w:cstheme="minorHAnsi"/>
          <w:lang w:val="en-GB"/>
        </w:rPr>
        <w:t>represents the density of objects in edge j.</w:t>
      </w:r>
    </w:p>
    <w:p w14:paraId="09BE3D9F" w14:textId="12DBD25E" w:rsidR="00BF6076" w:rsidRDefault="00BF6076">
      <w:pPr>
        <w:rPr>
          <w:lang w:val="en-GB"/>
        </w:rPr>
      </w:pPr>
      <w:r>
        <w:rPr>
          <w:lang w:val="en-GB"/>
        </w:rPr>
        <w:t>For the flanking coefficient</w:t>
      </w:r>
      <w:r w:rsidR="0010267B">
        <w:rPr>
          <w:lang w:val="en-GB"/>
        </w:rPr>
        <w:t>, this equation is used:</w:t>
      </w:r>
    </w:p>
    <w:p w14:paraId="782A7D30" w14:textId="5DA40219" w:rsidR="0010267B" w:rsidRPr="0010267B" w:rsidRDefault="0010267B">
      <w:pPr>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m:t>
            </m:r>
          </m:e>
          <m:sub>
            <m:r>
              <w:rPr>
                <w:rFonts w:ascii="Cambria Math" w:hAnsi="Cambria Math"/>
                <w:lang w:val="en-GB"/>
              </w:rPr>
              <m:t>0</m:t>
            </m:r>
          </m:sub>
          <m:sup>
            <m:r>
              <w:rPr>
                <w:rFonts w:ascii="Cambria Math" w:hAnsi="Cambria Math"/>
                <w:lang w:val="en-GB"/>
              </w:rPr>
              <m:t>1-</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den>
            </m:f>
          </m:sup>
        </m:sSubSup>
        <m:r>
          <w:rPr>
            <w:rFonts w:ascii="Cambria Math" w:eastAsiaTheme="minorEastAsia" w:hAnsi="Cambria Math"/>
            <w:lang w:val="en-GB"/>
          </w:rPr>
          <m:t xml:space="preserve"> if </m:t>
        </m:r>
        <m:sSub>
          <m:sSubPr>
            <m:ctrlPr>
              <w:rPr>
                <w:rFonts w:ascii="Cambria Math" w:hAnsi="Cambria Math"/>
                <w:i/>
                <w:lang w:val="en-GB"/>
              </w:rPr>
            </m:ctrlPr>
          </m:sSubPr>
          <m:e>
            <m:r>
              <w:rPr>
                <w:rFonts w:ascii="Cambria Math" w:hAnsi="Cambria Math"/>
                <w:lang w:val="en-GB"/>
              </w:rPr>
              <m:t>γ</m:t>
            </m:r>
          </m:e>
          <m:sub>
            <m:r>
              <w:rPr>
                <w:rFonts w:ascii="Cambria Math" w:hAnsi="Cambria Math"/>
                <w:lang w:val="en-GB"/>
              </w:rPr>
              <m:t>i</m:t>
            </m:r>
          </m:sub>
        </m:sSub>
        <m:r>
          <w:rPr>
            <w:rFonts w:ascii="Cambria Math" w:eastAsiaTheme="minorEastAsia" w:hAnsi="Cambria Math"/>
            <w:lang w:val="en-GB"/>
          </w:rPr>
          <m:t>≠0</m:t>
        </m:r>
      </m:oMath>
      <w:r>
        <w:rPr>
          <w:rFonts w:eastAsiaTheme="minorEastAsia"/>
          <w:lang w:val="en-GB"/>
        </w:rPr>
        <w:t xml:space="preserve"> </w:t>
      </w:r>
    </w:p>
    <w:p w14:paraId="771606C3" w14:textId="77F15DC8" w:rsidR="0010267B" w:rsidRDefault="0010267B">
      <w:pPr>
        <w:rPr>
          <w:rFonts w:eastAsiaTheme="minorEastAsia"/>
          <w:lang w:val="en-GB"/>
        </w:rPr>
      </w:pPr>
      <w:r>
        <w:rPr>
          <w:rFonts w:eastAsiaTheme="minorEastAsia"/>
          <w:lang w:val="en-GB"/>
        </w:rPr>
        <w:t xml:space="preserve">  </w:t>
      </w:r>
      <w:r>
        <w:rPr>
          <w:rFonts w:eastAsiaTheme="minorEastAsia"/>
          <w:lang w:val="en-GB"/>
        </w:rPr>
        <w:tab/>
        <w:t xml:space="preserve">      </w:t>
      </w:r>
      <m:oMath>
        <m:r>
          <w:rPr>
            <w:rFonts w:ascii="Cambria Math" w:eastAsiaTheme="minorEastAsia" w:hAnsi="Cambria Math"/>
            <w:lang w:val="en-GB"/>
          </w:rPr>
          <m:t>otherwise</m:t>
        </m:r>
      </m:oMath>
      <w:r>
        <w:rPr>
          <w:rFonts w:eastAsiaTheme="minorEastAsia"/>
          <w:lang w:val="en-GB"/>
        </w:rPr>
        <w:t xml:space="preserve"> </w:t>
      </w:r>
      <w:r>
        <w:rPr>
          <w:rFonts w:eastAsiaTheme="minorEastAsia"/>
          <w:lang w:val="en-GB"/>
        </w:rPr>
        <w:t xml:space="preserve"> </w:t>
      </w:r>
      <w:r w:rsidRPr="00BB399F">
        <w:rPr>
          <w:rStyle w:val="SubtleReference"/>
          <w:lang w:val="en-GB"/>
        </w:rPr>
        <w:t>(Raul Lara-Cabrera et al, 2017)</w:t>
      </w:r>
    </w:p>
    <w:p w14:paraId="00F824DE" w14:textId="3AEDF6F6" w:rsidR="009F7485" w:rsidRDefault="0010267B">
      <w:pPr>
        <w:rPr>
          <w:lang w:val="en-GB"/>
        </w:rPr>
      </w:pPr>
      <w:r>
        <w:rPr>
          <w:lang w:val="en-GB"/>
        </w:rPr>
        <w:t xml:space="preserve">Where </w:t>
      </w:r>
      <w:proofErr w:type="spellStart"/>
      <w:r w:rsidRPr="0010267B">
        <w:rPr>
          <w:rFonts w:cstheme="minorHAnsi"/>
          <w:sz w:val="24"/>
          <w:lang w:val="en-GB"/>
        </w:rPr>
        <w:t>φ</w:t>
      </w:r>
      <w:r w:rsidRPr="0010267B">
        <w:rPr>
          <w:sz w:val="24"/>
          <w:vertAlign w:val="subscript"/>
          <w:lang w:val="en-GB"/>
        </w:rPr>
        <w:t>i</w:t>
      </w:r>
      <w:proofErr w:type="spellEnd"/>
      <w:r>
        <w:rPr>
          <w:lang w:val="en-GB"/>
        </w:rPr>
        <w:t xml:space="preserve"> is the number of connected components in the sub graph, created from the adjacent zones to the node in consideration, not including that zone itself.</w:t>
      </w:r>
      <w:r w:rsidR="009F7485">
        <w:rPr>
          <w:lang w:val="en-GB"/>
        </w:rPr>
        <w:t xml:space="preserve"> If this zone has no connected zones, its flanking coefficient is zero</w:t>
      </w:r>
      <w:r w:rsidR="0039192A">
        <w:rPr>
          <w:lang w:val="en-GB"/>
        </w:rPr>
        <w:t xml:space="preserve"> (for example, a zone is in between 5 other zones, with the top 2 zones only being connected to each other and the centre zone, with the bottom 3 zones only being connected to each other and the centre zone</w:t>
      </w:r>
      <w:proofErr w:type="gramStart"/>
      <w:r w:rsidR="0039192A">
        <w:rPr>
          <w:lang w:val="en-GB"/>
        </w:rPr>
        <w:t xml:space="preserve">. </w:t>
      </w:r>
      <w:proofErr w:type="gramEnd"/>
      <w:r w:rsidR="0039192A">
        <w:rPr>
          <w:lang w:val="en-GB"/>
        </w:rPr>
        <w:t xml:space="preserve">After taking the centre zone out of consideration, there are two sets of connected components, so </w:t>
      </w:r>
      <w:proofErr w:type="spellStart"/>
      <w:r w:rsidR="0039192A" w:rsidRPr="0039192A">
        <w:rPr>
          <w:sz w:val="24"/>
          <w:lang w:val="en-GB"/>
        </w:rPr>
        <w:t>k</w:t>
      </w:r>
      <w:r w:rsidR="0039192A" w:rsidRPr="0039192A">
        <w:rPr>
          <w:sz w:val="24"/>
          <w:vertAlign w:val="subscript"/>
          <w:lang w:val="en-GB"/>
        </w:rPr>
        <w:t>i</w:t>
      </w:r>
      <w:proofErr w:type="spellEnd"/>
      <w:r w:rsidR="0039192A">
        <w:rPr>
          <w:lang w:val="en-GB"/>
        </w:rPr>
        <w:t xml:space="preserve"> = 1 – 2/5 = 3/5)</w:t>
      </w:r>
      <w:r w:rsidR="009F7485">
        <w:rPr>
          <w:lang w:val="en-GB"/>
        </w:rPr>
        <w:t xml:space="preserve">. </w:t>
      </w:r>
      <w:r w:rsidR="009F7485" w:rsidRPr="00BB399F">
        <w:rPr>
          <w:rStyle w:val="SubtleReference"/>
          <w:lang w:val="en-GB"/>
        </w:rPr>
        <w:t>(Raul Lara-Cabrera et al, 2017)</w:t>
      </w:r>
    </w:p>
    <w:p w14:paraId="1C74DB95" w14:textId="4AAAF69F" w:rsidR="00380950" w:rsidRPr="00000197" w:rsidRDefault="009F7485">
      <w:pPr>
        <w:rPr>
          <w:rFonts w:eastAsiaTheme="minorEastAsia"/>
          <w:color w:val="2F5496" w:themeColor="accent1" w:themeShade="BF"/>
          <w:sz w:val="32"/>
          <w:szCs w:val="32"/>
          <w:lang w:val="en-GB"/>
        </w:rPr>
      </w:pPr>
      <w:r>
        <w:rPr>
          <w:lang w:val="en-GB"/>
        </w:rPr>
        <w:t>d</w:t>
      </w:r>
      <w:bookmarkStart w:id="0" w:name="_GoBack"/>
      <w:bookmarkEnd w:id="0"/>
      <w:r w:rsidR="00380950" w:rsidRPr="00BB399F">
        <w:rPr>
          <w:lang w:val="en-GB"/>
        </w:rPr>
        <w:br w:type="page"/>
      </w:r>
    </w:p>
    <w:p w14:paraId="72754600" w14:textId="5222CF3B" w:rsidR="00595439" w:rsidRPr="00BB399F" w:rsidRDefault="00595439" w:rsidP="00595439">
      <w:pPr>
        <w:pStyle w:val="Heading1"/>
        <w:rPr>
          <w:rFonts w:cstheme="minorHAnsi"/>
          <w:lang w:val="en-GB"/>
        </w:rPr>
      </w:pPr>
      <w:r w:rsidRPr="00BB399F">
        <w:rPr>
          <w:lang w:val="en-GB"/>
        </w:rPr>
        <w:lastRenderedPageBreak/>
        <w:t xml:space="preserve">Software Development Analysis of Classes for the Method Detailed In: </w:t>
      </w:r>
      <w:r w:rsidRPr="00BB399F">
        <w:rPr>
          <w:rFonts w:cstheme="minorHAnsi"/>
          <w:lang w:val="en-GB"/>
        </w:rPr>
        <w:t>‘Procedural Generation of Balanced Levels for a 3D Paintball Game’</w:t>
      </w:r>
    </w:p>
    <w:p w14:paraId="32B51D40" w14:textId="023932A9" w:rsidR="004A1467" w:rsidRPr="00BB399F" w:rsidRDefault="004A1467" w:rsidP="004A1467">
      <w:pPr>
        <w:pStyle w:val="ListParagraph"/>
        <w:ind w:left="0"/>
        <w:rPr>
          <w:rFonts w:cstheme="minorHAnsi"/>
          <w:lang w:val="en-GB"/>
        </w:rPr>
      </w:pPr>
      <w:r w:rsidRPr="00BB399F">
        <w:rPr>
          <w:rFonts w:cstheme="minorHAnsi"/>
          <w:lang w:val="en-GB"/>
        </w:rPr>
        <w:t>From this considered method for balancing the space filling algorithm, the following classes can be discerned from it:</w:t>
      </w:r>
    </w:p>
    <w:p w14:paraId="692FF956" w14:textId="52F73A7F" w:rsidR="004A1467" w:rsidRPr="00BB399F" w:rsidRDefault="004A1467" w:rsidP="004A1467">
      <w:pPr>
        <w:pStyle w:val="ListParagraph"/>
        <w:numPr>
          <w:ilvl w:val="0"/>
          <w:numId w:val="2"/>
        </w:numPr>
        <w:rPr>
          <w:rFonts w:cstheme="minorHAnsi"/>
          <w:lang w:val="en-GB"/>
        </w:rPr>
      </w:pPr>
      <w:r w:rsidRPr="00BB399F">
        <w:rPr>
          <w:rFonts w:cstheme="minorHAnsi"/>
          <w:lang w:val="en-GB"/>
        </w:rPr>
        <w:t xml:space="preserve">Area (with </w:t>
      </w:r>
      <w:r w:rsidR="00122EB3" w:rsidRPr="00BB399F">
        <w:rPr>
          <w:rFonts w:cstheme="minorHAnsi"/>
          <w:lang w:val="en-GB"/>
        </w:rPr>
        <w:t xml:space="preserve">position </w:t>
      </w:r>
      <w:r w:rsidRPr="00BB399F">
        <w:rPr>
          <w:rFonts w:cstheme="minorHAnsi"/>
          <w:lang w:val="en-GB"/>
        </w:rPr>
        <w:t>coordinates</w:t>
      </w:r>
      <w:r w:rsidR="00AF1A4B" w:rsidRPr="00BB399F">
        <w:rPr>
          <w:rFonts w:cstheme="minorHAnsi"/>
          <w:lang w:val="en-GB"/>
        </w:rPr>
        <w:t>, extents</w:t>
      </w:r>
      <w:r w:rsidRPr="00BB399F">
        <w:rPr>
          <w:rFonts w:cstheme="minorHAnsi"/>
          <w:lang w:val="en-GB"/>
        </w:rPr>
        <w:t xml:space="preserve"> and area object density)</w:t>
      </w:r>
    </w:p>
    <w:p w14:paraId="707D5751" w14:textId="2F8F82A5" w:rsidR="004A1467" w:rsidRPr="00BB399F" w:rsidRDefault="004A1467" w:rsidP="004A1467">
      <w:pPr>
        <w:pStyle w:val="ListParagraph"/>
        <w:numPr>
          <w:ilvl w:val="0"/>
          <w:numId w:val="2"/>
        </w:numPr>
        <w:rPr>
          <w:rFonts w:cstheme="minorHAnsi"/>
          <w:lang w:val="en-GB"/>
        </w:rPr>
      </w:pPr>
      <w:r w:rsidRPr="00BB399F">
        <w:rPr>
          <w:rFonts w:cstheme="minorHAnsi"/>
          <w:lang w:val="en-GB"/>
        </w:rPr>
        <w:t>Zone (inheriting from Area, including the zone’s edges)</w:t>
      </w:r>
    </w:p>
    <w:p w14:paraId="138BC107" w14:textId="04A30718" w:rsidR="004A1467" w:rsidRPr="00BB399F" w:rsidRDefault="004A1467" w:rsidP="004A1467">
      <w:pPr>
        <w:pStyle w:val="ListParagraph"/>
        <w:numPr>
          <w:ilvl w:val="0"/>
          <w:numId w:val="2"/>
        </w:numPr>
        <w:rPr>
          <w:rFonts w:cstheme="minorHAnsi"/>
          <w:lang w:val="en-GB"/>
        </w:rPr>
      </w:pPr>
      <w:r w:rsidRPr="00BB399F">
        <w:rPr>
          <w:rFonts w:cstheme="minorHAnsi"/>
          <w:lang w:val="en-GB"/>
        </w:rPr>
        <w:t>Edge (</w:t>
      </w:r>
      <w:r w:rsidR="00883CAF" w:rsidRPr="00BB399F">
        <w:rPr>
          <w:rFonts w:cstheme="minorHAnsi"/>
          <w:lang w:val="en-GB"/>
        </w:rPr>
        <w:t xml:space="preserve">that of the </w:t>
      </w:r>
      <w:r w:rsidRPr="00BB399F">
        <w:rPr>
          <w:rFonts w:cstheme="minorHAnsi"/>
          <w:lang w:val="en-GB"/>
        </w:rPr>
        <w:t>connect</w:t>
      </w:r>
      <w:r w:rsidR="00883CAF" w:rsidRPr="00BB399F">
        <w:rPr>
          <w:rFonts w:cstheme="minorHAnsi"/>
          <w:lang w:val="en-GB"/>
        </w:rPr>
        <w:t>ion point to and from</w:t>
      </w:r>
      <w:r w:rsidRPr="00BB399F">
        <w:rPr>
          <w:rFonts w:cstheme="minorHAnsi"/>
          <w:lang w:val="en-GB"/>
        </w:rPr>
        <w:t xml:space="preserve"> zones</w:t>
      </w:r>
      <w:r w:rsidR="00883CAF" w:rsidRPr="00BB399F">
        <w:rPr>
          <w:rFonts w:cstheme="minorHAnsi"/>
          <w:lang w:val="en-GB"/>
        </w:rPr>
        <w:t>,</w:t>
      </w:r>
      <w:r w:rsidRPr="00BB399F">
        <w:rPr>
          <w:rFonts w:cstheme="minorHAnsi"/>
          <w:lang w:val="en-GB"/>
        </w:rPr>
        <w:t xml:space="preserve"> that are close enough to each other)</w:t>
      </w:r>
    </w:p>
    <w:p w14:paraId="6A03B750" w14:textId="7683C0AE" w:rsidR="004A1467" w:rsidRPr="00BB399F" w:rsidRDefault="0039192A" w:rsidP="00595439">
      <w:pPr>
        <w:rPr>
          <w:lang w:val="en-GB"/>
        </w:rPr>
      </w:pPr>
      <w:r w:rsidRPr="00BB399F">
        <w:rPr>
          <w:noProof/>
          <w:lang w:val="en-GB"/>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10" o:title=""/>
            <w10:wrap type="square"/>
          </v:shape>
          <o:OLEObject Type="Embed" ProgID="Visio.Drawing.15" ShapeID="_x0000_s1028" DrawAspect="Content" ObjectID="_1582050009" r:id="rId11"/>
        </w:object>
      </w:r>
      <w:r w:rsidR="004A1467" w:rsidRPr="00BB399F">
        <w:rPr>
          <w:lang w:val="en-GB"/>
        </w:rPr>
        <w:t>These can be represented in a Class Diagram (as shown below):</w:t>
      </w:r>
    </w:p>
    <w:p w14:paraId="03EA0AFD" w14:textId="0BD14654" w:rsidR="00A9567A" w:rsidRPr="00BB399F" w:rsidRDefault="00A9567A" w:rsidP="00595439">
      <w:pPr>
        <w:rPr>
          <w:lang w:val="en-GB"/>
        </w:rPr>
      </w:pPr>
    </w:p>
    <w:p w14:paraId="0E62199E" w14:textId="797A75BC" w:rsidR="00155618" w:rsidRPr="00BB399F" w:rsidRDefault="00155618" w:rsidP="00595439">
      <w:pPr>
        <w:rPr>
          <w:rFonts w:cstheme="minorHAnsi"/>
          <w:lang w:val="en-GB"/>
        </w:rPr>
      </w:pPr>
      <w:r w:rsidRPr="00BB399F">
        <w:rPr>
          <w:lang w:val="en-GB"/>
        </w:rPr>
        <w:br w:type="page"/>
      </w:r>
    </w:p>
    <w:sdt>
      <w:sdtPr>
        <w:rPr>
          <w:rFonts w:asciiTheme="minorHAnsi" w:eastAsiaTheme="minorHAnsi" w:hAnsiTheme="minorHAnsi" w:cstheme="minorBidi"/>
          <w:color w:val="auto"/>
          <w:sz w:val="22"/>
          <w:szCs w:val="22"/>
          <w:lang w:val="en-GB"/>
        </w:rPr>
        <w:id w:val="-1909678430"/>
        <w:docPartObj>
          <w:docPartGallery w:val="Bibliographies"/>
          <w:docPartUnique/>
        </w:docPartObj>
      </w:sdtPr>
      <w:sdtEndPr/>
      <w:sdtContent>
        <w:p w14:paraId="4CF05256" w14:textId="13DE029B" w:rsidR="00155618" w:rsidRPr="00BB399F" w:rsidRDefault="00155618">
          <w:pPr>
            <w:pStyle w:val="Heading1"/>
            <w:rPr>
              <w:lang w:val="en-GB"/>
            </w:rPr>
          </w:pPr>
          <w:r w:rsidRPr="00BB399F">
            <w:rPr>
              <w:lang w:val="en-GB"/>
            </w:rPr>
            <w:t>Bibliography</w:t>
          </w:r>
        </w:p>
        <w:sdt>
          <w:sdtPr>
            <w:rPr>
              <w:lang w:val="en-GB"/>
            </w:rPr>
            <w:id w:val="111145805"/>
            <w:bibliography/>
          </w:sdtPr>
          <w:sdtEndPr/>
          <w:sdtContent>
            <w:p w14:paraId="3A939817" w14:textId="7B916509" w:rsidR="00155618" w:rsidRPr="00BB399F" w:rsidRDefault="00155618">
              <w:pPr>
                <w:rPr>
                  <w:lang w:val="en-GB"/>
                </w:rPr>
              </w:pPr>
              <w:r w:rsidRPr="00BB399F">
                <w:rPr>
                  <w:lang w:val="en-GB"/>
                </w:rPr>
                <w:fldChar w:fldCharType="begin"/>
              </w:r>
              <w:r w:rsidRPr="00BB399F">
                <w:rPr>
                  <w:lang w:val="en-GB"/>
                </w:rPr>
                <w:instrText xml:space="preserve"> BIBLIOGRAPHY </w:instrText>
              </w:r>
              <w:r w:rsidRPr="00BB399F">
                <w:rPr>
                  <w:lang w:val="en-GB"/>
                </w:rPr>
                <w:fldChar w:fldCharType="separate"/>
              </w:r>
              <w:r w:rsidRPr="00BB399F">
                <w:rPr>
                  <w:b/>
                  <w:bCs/>
                  <w:noProof/>
                  <w:lang w:val="en-GB"/>
                </w:rPr>
                <w:t>There are no sources in the current document.</w:t>
              </w:r>
              <w:r w:rsidRPr="00BB399F">
                <w:rPr>
                  <w:b/>
                  <w:bCs/>
                  <w:noProof/>
                  <w:lang w:val="en-GB"/>
                </w:rPr>
                <w:fldChar w:fldCharType="end"/>
              </w:r>
            </w:p>
          </w:sdtContent>
        </w:sdt>
      </w:sdtContent>
    </w:sdt>
    <w:p w14:paraId="59632E33" w14:textId="01ACE675" w:rsidR="00155618" w:rsidRPr="00BB399F" w:rsidRDefault="00155618">
      <w:pPr>
        <w:rPr>
          <w:lang w:val="en-GB"/>
        </w:rPr>
      </w:pPr>
      <w:r w:rsidRPr="00BB399F">
        <w:rPr>
          <w:lang w:val="en-GB"/>
        </w:rPr>
        <w:br w:type="page"/>
      </w:r>
    </w:p>
    <w:sdt>
      <w:sdtPr>
        <w:rPr>
          <w:rFonts w:asciiTheme="minorHAnsi" w:eastAsiaTheme="minorHAnsi" w:hAnsiTheme="minorHAnsi" w:cstheme="minorBidi"/>
          <w:color w:val="auto"/>
          <w:sz w:val="22"/>
          <w:szCs w:val="22"/>
          <w:lang w:val="en-GB"/>
        </w:rPr>
        <w:id w:val="33080250"/>
        <w:docPartObj>
          <w:docPartGallery w:val="Bibliographies"/>
          <w:docPartUnique/>
        </w:docPartObj>
      </w:sdtPr>
      <w:sdtEndPr/>
      <w:sdtContent>
        <w:p w14:paraId="042AC098" w14:textId="2408CF0E" w:rsidR="00155618" w:rsidRPr="00BB399F" w:rsidRDefault="00155618">
          <w:pPr>
            <w:pStyle w:val="Heading1"/>
            <w:rPr>
              <w:lang w:val="en-GB"/>
            </w:rPr>
          </w:pPr>
          <w:r w:rsidRPr="00BB399F">
            <w:rPr>
              <w:lang w:val="en-GB"/>
            </w:rPr>
            <w:t>References</w:t>
          </w:r>
        </w:p>
        <w:sdt>
          <w:sdtPr>
            <w:rPr>
              <w:lang w:val="en-GB"/>
            </w:rPr>
            <w:id w:val="-573587230"/>
            <w:bibliography/>
          </w:sdtPr>
          <w:sdtEndPr/>
          <w:sdtContent>
            <w:p w14:paraId="48F06435" w14:textId="77777777" w:rsidR="006C6A0F" w:rsidRPr="00BB399F" w:rsidRDefault="00305D07">
              <w:pPr>
                <w:rPr>
                  <w:rStyle w:val="IntenseReference"/>
                  <w:lang w:val="en-GB"/>
                </w:rPr>
              </w:pPr>
              <w:r w:rsidRPr="00BB399F">
                <w:rPr>
                  <w:rStyle w:val="IntenseReference"/>
                  <w:lang w:val="en-GB"/>
                </w:rPr>
                <w:t xml:space="preserve">CABRERA, R., L., </w:t>
              </w:r>
              <w:r w:rsidRPr="00BB399F">
                <w:rPr>
                  <w:rStyle w:val="IntenseReference"/>
                  <w:i/>
                  <w:lang w:val="en-GB"/>
                </w:rPr>
                <w:t>et al</w:t>
              </w:r>
              <w:r w:rsidRPr="00BB399F">
                <w:rPr>
                  <w:rStyle w:val="IntenseReference"/>
                  <w:lang w:val="en-GB"/>
                </w:rPr>
                <w:t xml:space="preserve">, 2017. </w:t>
              </w:r>
              <w:r w:rsidRPr="00BB399F">
                <w:rPr>
                  <w:rStyle w:val="IntenseReference"/>
                  <w:i/>
                  <w:lang w:val="en-GB"/>
                </w:rPr>
                <w:t>Procedural Generation of Balanced Levels for a 3D Paintball Game</w:t>
              </w:r>
              <w:r w:rsidRPr="00BB399F">
                <w:rPr>
                  <w:rStyle w:val="IntenseReference"/>
                  <w:lang w:val="en-GB"/>
                </w:rPr>
                <w:t xml:space="preserve">. Madrid: Universidad </w:t>
              </w:r>
              <w:proofErr w:type="spellStart"/>
              <w:r w:rsidRPr="00BB399F">
                <w:rPr>
                  <w:rStyle w:val="IntenseReference"/>
                  <w:lang w:val="en-GB"/>
                </w:rPr>
                <w:t>Autonoma</w:t>
              </w:r>
              <w:proofErr w:type="spellEnd"/>
              <w:r w:rsidRPr="00BB399F">
                <w:rPr>
                  <w:rStyle w:val="IntenseReference"/>
                  <w:lang w:val="en-GB"/>
                </w:rPr>
                <w:t xml:space="preserve"> de Madrid</w:t>
              </w:r>
            </w:p>
            <w:p w14:paraId="772B2AA8" w14:textId="4AD5C58F" w:rsidR="00155618" w:rsidRPr="00BB399F" w:rsidRDefault="006C6A0F">
              <w:pPr>
                <w:rPr>
                  <w:lang w:val="en-GB"/>
                </w:rPr>
              </w:pPr>
              <w:r w:rsidRPr="00BB399F">
                <w:rPr>
                  <w:rStyle w:val="IntenseReference"/>
                  <w:lang w:val="en-GB"/>
                </w:rPr>
                <w:t xml:space="preserve">NOLAND, M., 2015. C++ Extending the Editor | Live Training | Unreal Engine. [Viewed on the 04/03/2018]. Available from: </w:t>
              </w:r>
              <w:hyperlink r:id="rId12" w:history="1">
                <w:r w:rsidRPr="00BB399F">
                  <w:rPr>
                    <w:rStyle w:val="IntenseReference"/>
                    <w:lang w:val="en-GB"/>
                  </w:rPr>
                  <w:t>https://www.youtube.com/watch?v=zg_VstBxDi8&amp;t=1364s</w:t>
                </w:r>
              </w:hyperlink>
              <w:r w:rsidRPr="00BB399F">
                <w:rPr>
                  <w:lang w:val="en-GB"/>
                </w:rPr>
                <w:t xml:space="preserve"> </w:t>
              </w:r>
            </w:p>
          </w:sdtContent>
        </w:sdt>
      </w:sdtContent>
    </w:sdt>
    <w:p w14:paraId="6111D524" w14:textId="77777777" w:rsidR="00B40C32" w:rsidRPr="00BB399F" w:rsidRDefault="00B40C32">
      <w:pPr>
        <w:rPr>
          <w:lang w:val="en-GB"/>
        </w:rPr>
      </w:pPr>
    </w:p>
    <w:sectPr w:rsidR="00B40C32" w:rsidRPr="00BB399F"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00197"/>
    <w:rsid w:val="00066AD8"/>
    <w:rsid w:val="0010267B"/>
    <w:rsid w:val="00122EB3"/>
    <w:rsid w:val="00155618"/>
    <w:rsid w:val="00221C91"/>
    <w:rsid w:val="002306FA"/>
    <w:rsid w:val="002D75C2"/>
    <w:rsid w:val="00305D07"/>
    <w:rsid w:val="00332C60"/>
    <w:rsid w:val="00380950"/>
    <w:rsid w:val="0039192A"/>
    <w:rsid w:val="0042356B"/>
    <w:rsid w:val="0044711F"/>
    <w:rsid w:val="004557CE"/>
    <w:rsid w:val="004A1467"/>
    <w:rsid w:val="00517357"/>
    <w:rsid w:val="00546095"/>
    <w:rsid w:val="0057050E"/>
    <w:rsid w:val="00595439"/>
    <w:rsid w:val="005975DB"/>
    <w:rsid w:val="005F6AA2"/>
    <w:rsid w:val="00606100"/>
    <w:rsid w:val="00672F9A"/>
    <w:rsid w:val="006736BE"/>
    <w:rsid w:val="006C6A0F"/>
    <w:rsid w:val="006D704A"/>
    <w:rsid w:val="006E6AE6"/>
    <w:rsid w:val="00753B3E"/>
    <w:rsid w:val="00776A94"/>
    <w:rsid w:val="00825685"/>
    <w:rsid w:val="00837B02"/>
    <w:rsid w:val="00883CAF"/>
    <w:rsid w:val="008B5D01"/>
    <w:rsid w:val="008F0786"/>
    <w:rsid w:val="00915190"/>
    <w:rsid w:val="009454FE"/>
    <w:rsid w:val="0095272F"/>
    <w:rsid w:val="00986B3A"/>
    <w:rsid w:val="009A3AEA"/>
    <w:rsid w:val="009B6DE9"/>
    <w:rsid w:val="009D7BFA"/>
    <w:rsid w:val="009E08B8"/>
    <w:rsid w:val="009F7485"/>
    <w:rsid w:val="009F768B"/>
    <w:rsid w:val="00A13004"/>
    <w:rsid w:val="00A26CD1"/>
    <w:rsid w:val="00A47388"/>
    <w:rsid w:val="00A9567A"/>
    <w:rsid w:val="00AA1184"/>
    <w:rsid w:val="00AF1A4B"/>
    <w:rsid w:val="00B340BF"/>
    <w:rsid w:val="00B40C32"/>
    <w:rsid w:val="00BA4BD1"/>
    <w:rsid w:val="00BB399F"/>
    <w:rsid w:val="00BF6076"/>
    <w:rsid w:val="00C17CB0"/>
    <w:rsid w:val="00C33311"/>
    <w:rsid w:val="00C35E2B"/>
    <w:rsid w:val="00C519C1"/>
    <w:rsid w:val="00C76378"/>
    <w:rsid w:val="00CD0533"/>
    <w:rsid w:val="00D22A1D"/>
    <w:rsid w:val="00D5565A"/>
    <w:rsid w:val="00D64778"/>
    <w:rsid w:val="00DC418D"/>
    <w:rsid w:val="00DD0390"/>
    <w:rsid w:val="00DE072C"/>
    <w:rsid w:val="00E52AA9"/>
    <w:rsid w:val="00E73273"/>
    <w:rsid w:val="00E8141A"/>
    <w:rsid w:val="00E8453B"/>
    <w:rsid w:val="00EC1A40"/>
    <w:rsid w:val="00EE5016"/>
    <w:rsid w:val="00EF1C16"/>
    <w:rsid w:val="00F324EE"/>
    <w:rsid w:val="00F37C67"/>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 w:type="character" w:styleId="PlaceholderText">
    <w:name w:val="Placeholder Text"/>
    <w:basedOn w:val="DefaultParagraphFont"/>
    <w:uiPriority w:val="99"/>
    <w:semiHidden/>
    <w:rsid w:val="00000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youtube.com/watch?v=zg_VstBxDi8&amp;t=1364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91"/>
    <w:rsid w:val="00682091"/>
    <w:rsid w:val="0097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20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6F3AB-BC3A-4766-B9AA-36FDABE7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5</cp:revision>
  <dcterms:created xsi:type="dcterms:W3CDTF">2018-03-08T21:14:00Z</dcterms:created>
  <dcterms:modified xsi:type="dcterms:W3CDTF">2018-03-08T21:34:00Z</dcterms:modified>
</cp:coreProperties>
</file>