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9E2FA1" w:rsidRDefault="00D41D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E2FA1">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9E2FA1" w:rsidRDefault="00D41D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E2FA1">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9E2FA1" w:rsidRDefault="00D41D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E2FA1">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9E2FA1" w:rsidRDefault="00D41D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E2FA1">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9E2FA1" w:rsidRDefault="009E2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9E2FA1" w:rsidRDefault="009E2FA1"/>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D41D0D"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D41D0D">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D41D0D">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D41D0D">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1A0CFF0A"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w:t>
      </w:r>
      <w:r w:rsidR="0031512D">
        <w:rPr>
          <w:lang w:val="en-GB"/>
        </w:rPr>
        <w:t>cm</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w:t>
      </w:r>
      <w:r w:rsidR="0031512D">
        <w:rPr>
          <w:lang w:val="en-GB"/>
        </w:rPr>
        <w:t>cm</w:t>
      </w:r>
      <w:r w:rsidR="00D7251D">
        <w:rPr>
          <w:lang w:val="en-GB"/>
        </w:rPr>
        <w:t>)</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D41D0D">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D41D0D">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D41D0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1706DCE3"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B2AD6CC" w:rsidR="00823CE6" w:rsidRDefault="00823CE6" w:rsidP="00823CE6">
      <w:pPr>
        <w:rPr>
          <w:lang w:val="en-GB"/>
        </w:rPr>
      </w:pPr>
      <w:r>
        <w:rPr>
          <w:lang w:val="en-GB"/>
        </w:rPr>
        <w:t>(</w:t>
      </w:r>
      <w:r w:rsidR="0031512D">
        <w:rPr>
          <w:lang w:val="en-GB"/>
        </w:rPr>
        <w:t xml:space="preserve">MS </w:t>
      </w:r>
      <w:r>
        <w:rPr>
          <w:lang w:val="en-GB"/>
        </w:rPr>
        <w:t>Paint Pixel-Based Calculations)</w:t>
      </w:r>
    </w:p>
    <w:p w14:paraId="4FCB58A9" w14:textId="6518BCC5" w:rsidR="00823CE6" w:rsidRDefault="00823CE6" w:rsidP="00823CE6">
      <w:pPr>
        <w:rPr>
          <w:lang w:val="en-GB"/>
        </w:rPr>
      </w:pPr>
      <w:r>
        <w:rPr>
          <w:lang w:val="en-GB"/>
        </w:rPr>
        <w:t xml:space="preserve">749: </w:t>
      </w:r>
      <w:r w:rsidR="0031512D">
        <w:rPr>
          <w:lang w:val="en-GB"/>
        </w:rPr>
        <w:t>Depth</w:t>
      </w:r>
      <w:r w:rsidR="00883CBE">
        <w:rPr>
          <w:lang w:val="en-GB"/>
        </w:rPr>
        <w:t xml:space="preserve"> (80 </w:t>
      </w:r>
      <w:r w:rsidR="00C854AB">
        <w:rPr>
          <w:lang w:val="en-GB"/>
        </w:rPr>
        <w:t>cm</w:t>
      </w:r>
      <w:r w:rsidR="00883CBE">
        <w:rPr>
          <w:lang w:val="en-GB"/>
        </w:rPr>
        <w:t>)</w:t>
      </w:r>
      <w:r>
        <w:rPr>
          <w:lang w:val="en-GB"/>
        </w:rPr>
        <w:t>, 551: Width</w:t>
      </w:r>
      <w:r w:rsidR="00883CBE">
        <w:rPr>
          <w:lang w:val="en-GB"/>
        </w:rPr>
        <w:t xml:space="preserve"> (60 </w:t>
      </w:r>
      <w:r w:rsidR="00C854AB">
        <w:rPr>
          <w:lang w:val="en-GB"/>
        </w:rPr>
        <w:t>cm</w:t>
      </w:r>
      <w:r w:rsidR="00883CBE">
        <w:rPr>
          <w:lang w:val="en-GB"/>
        </w:rPr>
        <w:t>)</w:t>
      </w:r>
    </w:p>
    <w:p w14:paraId="342C0C17" w14:textId="4B5BA614" w:rsidR="00BC4ACE" w:rsidRDefault="00BC4ACE" w:rsidP="00823CE6">
      <w:pPr>
        <w:rPr>
          <w:lang w:val="en-GB"/>
        </w:rPr>
      </w:pPr>
      <w:r>
        <w:rPr>
          <w:lang w:val="en-GB"/>
        </w:rPr>
        <w:t>(</w:t>
      </w:r>
      <w:r w:rsidR="0029334C">
        <w:rPr>
          <w:lang w:val="en-GB"/>
        </w:rPr>
        <w:t xml:space="preserve">Average pixels to </w:t>
      </w:r>
      <w:r w:rsidR="0031512D">
        <w:rPr>
          <w:lang w:val="en-GB"/>
        </w:rPr>
        <w:t>cm</w:t>
      </w:r>
      <w:r w:rsidR="0029334C">
        <w:rPr>
          <w:lang w:val="en-GB"/>
        </w:rPr>
        <w:t xml:space="preserve"> = ((749 / 80) + (551 / 60)) / 2 = (9.3625 + 9.1833) / 2 = 9.273 (to 3 d. p.). </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5CFAA72E"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7C679DF6" w14:textId="35C0910F"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314B7FE" w14:textId="480151DB"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1181B10E" w14:textId="77777777" w:rsidR="00C66FBB" w:rsidRDefault="00C66FBB" w:rsidP="00823CE6">
      <w:pPr>
        <w:rPr>
          <w:lang w:val="en-GB"/>
        </w:rPr>
      </w:pPr>
    </w:p>
    <w:p w14:paraId="2DE14B48" w14:textId="77777777" w:rsidR="00C66FBB" w:rsidRDefault="00C66FBB" w:rsidP="00823CE6">
      <w:pPr>
        <w:rPr>
          <w:lang w:val="en-GB"/>
        </w:rPr>
      </w:pPr>
    </w:p>
    <w:p w14:paraId="633DE305" w14:textId="4CF77A54" w:rsidR="009E6B1F"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6A4B37D5" w14:textId="66DABAAE" w:rsidR="009E6B1F" w:rsidRPr="009E6B1F" w:rsidRDefault="00D41D0D" w:rsidP="009E6B1F">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70388557" w14:textId="62BAEB95" w:rsidR="009E6B1F" w:rsidRDefault="009E6B1F" w:rsidP="009E6B1F">
      <w:pPr>
        <w:rPr>
          <w:rFonts w:eastAsiaTheme="minorEastAsia"/>
          <w:lang w:val="en-GB"/>
        </w:rPr>
      </w:pPr>
      <w:r>
        <w:rPr>
          <w:rFonts w:eastAsiaTheme="minorEastAsia"/>
          <w:lang w:val="en-GB"/>
        </w:rPr>
        <w:t>As this value lies between 25</w:t>
      </w:r>
      <w:r w:rsidR="00971963">
        <w:rPr>
          <w:rFonts w:eastAsiaTheme="minorEastAsia"/>
          <w:lang w:val="en-GB"/>
        </w:rPr>
        <w:t>00</w:t>
      </w:r>
      <w:r>
        <w:rPr>
          <w:rFonts w:eastAsiaTheme="minorEastAsia"/>
          <w:lang w:val="en-GB"/>
        </w:rPr>
        <w:t xml:space="preserve"> and 50</w:t>
      </w:r>
      <w:r w:rsidR="00971963">
        <w:rPr>
          <w:rFonts w:eastAsiaTheme="minorEastAsia"/>
          <w:lang w:val="en-GB"/>
        </w:rPr>
        <w:t>00</w:t>
      </w:r>
      <w:r>
        <w:rPr>
          <w:rFonts w:eastAsiaTheme="minorEastAsia"/>
          <w:lang w:val="en-GB"/>
        </w:rPr>
        <w:t xml:space="preserve">, the edge colour for the top edge of this zone, </w:t>
      </w:r>
      <w:r w:rsidR="00A30B88">
        <w:rPr>
          <w:rFonts w:eastAsiaTheme="minorEastAsia"/>
          <w:lang w:val="en-GB"/>
        </w:rPr>
        <w:t>is red.</w:t>
      </w:r>
      <w:r>
        <w:rPr>
          <w:rFonts w:eastAsiaTheme="minorEastAsia"/>
          <w:lang w:val="en-GB"/>
        </w:rPr>
        <w:tab/>
      </w:r>
      <w:r>
        <w:rPr>
          <w:rFonts w:eastAsiaTheme="minorEastAsia"/>
          <w:lang w:val="en-GB"/>
        </w:rPr>
        <w:tab/>
      </w:r>
    </w:p>
    <w:p w14:paraId="20EDCCDC" w14:textId="77777777" w:rsidR="009E6B1F" w:rsidRDefault="009E6B1F" w:rsidP="00823CE6">
      <w:pPr>
        <w:rPr>
          <w:rFonts w:eastAsiaTheme="minorEastAsia"/>
          <w:lang w:val="en-GB"/>
        </w:rPr>
      </w:pPr>
    </w:p>
    <w:p w14:paraId="2D7EB56D" w14:textId="198CF13F" w:rsidR="000E0548" w:rsidRDefault="000E0548" w:rsidP="00823CE6">
      <w:pPr>
        <w:rPr>
          <w:lang w:val="en-GB"/>
        </w:rPr>
      </w:pPr>
    </w:p>
    <w:p w14:paraId="4F0FB63C" w14:textId="734D267D" w:rsidR="008C0C78" w:rsidRDefault="006104AF" w:rsidP="00823CE6">
      <w:pPr>
        <w:rPr>
          <w:lang w:val="en-GB"/>
        </w:rPr>
      </w:pPr>
      <w:r>
        <w:rPr>
          <w:noProof/>
          <w:lang w:val="en-GB"/>
        </w:rPr>
        <w:lastRenderedPageBreak/>
        <w:drawing>
          <wp:anchor distT="0" distB="0" distL="114300" distR="114300" simplePos="0" relativeHeight="251677696" behindDoc="0" locked="0" layoutInCell="1" allowOverlap="1" wp14:anchorId="60CBBAD5" wp14:editId="7FA98D6A">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C78">
        <w:rPr>
          <w:lang w:val="en-GB"/>
        </w:rPr>
        <w:t xml:space="preserve">Another example of its use, is </w:t>
      </w:r>
      <w:r w:rsidR="00D242DF">
        <w:rPr>
          <w:lang w:val="en-GB"/>
        </w:rPr>
        <w:t>detailed</w:t>
      </w:r>
      <w:r w:rsidR="008C0C78">
        <w:rPr>
          <w:lang w:val="en-GB"/>
        </w:rPr>
        <w:t xml:space="preserve"> </w:t>
      </w:r>
      <w:r w:rsidR="00DC7E97">
        <w:rPr>
          <w:lang w:val="en-GB"/>
        </w:rPr>
        <w:t>in this section</w:t>
      </w:r>
      <w:r w:rsidR="00D242DF">
        <w:rPr>
          <w:lang w:val="en-GB"/>
        </w:rPr>
        <w:t>. Note that no matter which algorithm is used to fill the area, the set-up shown immediately below, is always used, before the space is filled with the respective space-filling algorithm</w:t>
      </w:r>
      <w:r w:rsidR="008C0C78">
        <w:rPr>
          <w:lang w:val="en-GB"/>
        </w:rPr>
        <w:t>:</w:t>
      </w:r>
    </w:p>
    <w:p w14:paraId="46300D75" w14:textId="6B6A9C88" w:rsidR="00095969" w:rsidRDefault="00DF60A4" w:rsidP="00823CE6">
      <w:pPr>
        <w:rPr>
          <w:lang w:val="en-GB"/>
        </w:rPr>
      </w:pPr>
      <w:r>
        <w:rPr>
          <w:lang w:val="en-GB"/>
        </w:rPr>
        <w:t>The width</w:t>
      </w:r>
      <w:r w:rsidR="00771AB4">
        <w:rPr>
          <w:lang w:val="en-GB"/>
        </w:rPr>
        <w:t xml:space="preserve"> and depth </w:t>
      </w:r>
      <w:r>
        <w:rPr>
          <w:lang w:val="en-GB"/>
        </w:rPr>
        <w:t xml:space="preserve">for this </w:t>
      </w:r>
      <w:r w:rsidR="00771AB4">
        <w:rPr>
          <w:lang w:val="en-GB"/>
        </w:rPr>
        <w:t>area</w:t>
      </w:r>
      <w:r>
        <w:rPr>
          <w:lang w:val="en-GB"/>
        </w:rPr>
        <w:t>, are expressed by the user</w:t>
      </w:r>
      <w:r w:rsidR="00250FC6">
        <w:rPr>
          <w:lang w:val="en-GB"/>
        </w:rPr>
        <w:t xml:space="preserve"> (in cm)</w:t>
      </w:r>
      <w:r>
        <w:rPr>
          <w:lang w:val="en-GB"/>
        </w:rPr>
        <w:t xml:space="preserve">. This will encapsulate the volume to generate a level within (filling </w:t>
      </w:r>
      <w:r w:rsidR="00771AB4">
        <w:rPr>
          <w:lang w:val="en-GB"/>
        </w:rPr>
        <w:t xml:space="preserve">space from the </w:t>
      </w:r>
      <w:r w:rsidR="00010C1B">
        <w:rPr>
          <w:lang w:val="en-GB"/>
        </w:rPr>
        <w:t xml:space="preserve">‘Generation Area Floor’, to the </w:t>
      </w:r>
      <w:r w:rsidR="00771AB4">
        <w:rPr>
          <w:lang w:val="en-GB"/>
        </w:rPr>
        <w:t>default height of the level (100cm or 1UU)</w:t>
      </w:r>
      <w:r w:rsidR="00010C1B">
        <w:rPr>
          <w:lang w:val="en-GB"/>
        </w:rPr>
        <w:t>.</w:t>
      </w:r>
    </w:p>
    <w:p w14:paraId="18674F05" w14:textId="5969ABFE" w:rsidR="000E0548" w:rsidRDefault="000E0548" w:rsidP="00823CE6">
      <w:pPr>
        <w:rPr>
          <w:lang w:val="en-GB"/>
        </w:rPr>
      </w:pPr>
    </w:p>
    <w:p w14:paraId="2B0F7798" w14:textId="77777777" w:rsidR="005E0108" w:rsidRDefault="005E0108" w:rsidP="00823CE6">
      <w:pPr>
        <w:rPr>
          <w:lang w:val="en-GB"/>
        </w:rPr>
      </w:pPr>
    </w:p>
    <w:p w14:paraId="1D1DDEC2" w14:textId="77777777" w:rsidR="005E0108" w:rsidRDefault="005E0108" w:rsidP="00823CE6">
      <w:pPr>
        <w:rPr>
          <w:lang w:val="en-GB"/>
        </w:rPr>
      </w:pPr>
    </w:p>
    <w:p w14:paraId="4CADE63B" w14:textId="3FFB0C91" w:rsidR="000E0548" w:rsidRDefault="006E4599" w:rsidP="00823CE6">
      <w:pPr>
        <w:rPr>
          <w:lang w:val="en-GB"/>
        </w:rPr>
      </w:pPr>
      <w:r>
        <w:rPr>
          <w:noProof/>
          <w:lang w:val="en-GB"/>
        </w:rPr>
        <w:drawing>
          <wp:anchor distT="0" distB="0" distL="114300" distR="114300" simplePos="0" relativeHeight="251678720" behindDoc="0" locked="0" layoutInCell="1" allowOverlap="1" wp14:anchorId="599F9773" wp14:editId="0D5DD3A2">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C1B">
        <w:rPr>
          <w:lang w:val="en-GB"/>
        </w:rPr>
        <w:t xml:space="preserve">For the use of Wang </w:t>
      </w:r>
      <w:r w:rsidR="00F308BD">
        <w:rPr>
          <w:lang w:val="en-GB"/>
        </w:rPr>
        <w:t>Tiles, each</w:t>
      </w:r>
      <w:r w:rsidR="00010C1B">
        <w:rPr>
          <w:lang w:val="en-GB"/>
        </w:rPr>
        <w:t xml:space="preserve"> Wang Tile (Zone</w:t>
      </w:r>
      <w:r w:rsidR="00250FC6">
        <w:rPr>
          <w:lang w:val="en-GB"/>
        </w:rPr>
        <w:t xml:space="preserve"> class instance</w:t>
      </w:r>
      <w:r w:rsidR="00010C1B">
        <w:rPr>
          <w:lang w:val="en-GB"/>
        </w:rPr>
        <w:t xml:space="preserve">) in this implementation, will take up </w:t>
      </w:r>
      <w:r w:rsidR="00F308BD">
        <w:rPr>
          <w:lang w:val="en-GB"/>
        </w:rPr>
        <w:t xml:space="preserve">a volume of 100 </w:t>
      </w:r>
      <w:r w:rsidR="00250FC6">
        <w:rPr>
          <w:lang w:val="en-GB"/>
        </w:rPr>
        <w:t>cm</w:t>
      </w:r>
      <w:r w:rsidR="00F308BD">
        <w:rPr>
          <w:vertAlign w:val="superscript"/>
          <w:lang w:val="en-GB"/>
        </w:rPr>
        <w:t>3</w:t>
      </w:r>
      <w:r w:rsidR="00F308BD">
        <w:rPr>
          <w:lang w:val="en-GB"/>
        </w:rPr>
        <w:t xml:space="preserve"> (1x1x1 UU). Specifically, as shown in the diagram immediately </w:t>
      </w:r>
      <w:r>
        <w:rPr>
          <w:lang w:val="en-GB"/>
        </w:rPr>
        <w:t>to the right</w:t>
      </w:r>
      <w:r w:rsidR="00F308BD">
        <w:rPr>
          <w:lang w:val="en-GB"/>
        </w:rPr>
        <w:t xml:space="preserve">, </w:t>
      </w:r>
      <w:r w:rsidR="00250FC6">
        <w:rPr>
          <w:lang w:val="en-GB"/>
        </w:rPr>
        <w:t>is this set-up for the placement of these Zones</w:t>
      </w:r>
      <w:r w:rsidR="00C936E1">
        <w:rPr>
          <w:lang w:val="en-GB"/>
        </w:rPr>
        <w:t xml:space="preserve"> (for a 300x300 cm area (3x3 UU</w:t>
      </w:r>
      <w:r w:rsidR="00C936E1">
        <w:rPr>
          <w:vertAlign w:val="superscript"/>
          <w:lang w:val="en-GB"/>
        </w:rPr>
        <w:t>2</w:t>
      </w:r>
      <w:r w:rsidR="00C936E1">
        <w:rPr>
          <w:lang w:val="en-GB"/>
        </w:rPr>
        <w:t>)):</w:t>
      </w:r>
    </w:p>
    <w:p w14:paraId="5ED120DA" w14:textId="64C2978B" w:rsidR="00D151D9" w:rsidRDefault="00D151D9" w:rsidP="00823CE6">
      <w:pPr>
        <w:rPr>
          <w:lang w:val="en-GB"/>
        </w:rPr>
      </w:pPr>
    </w:p>
    <w:p w14:paraId="732A7BCF" w14:textId="4CD5E0A6" w:rsidR="00D151D9" w:rsidRPr="00F308BD" w:rsidRDefault="00AF6ABD" w:rsidP="00823CE6">
      <w:pPr>
        <w:rPr>
          <w:lang w:val="en-GB"/>
        </w:rPr>
      </w:pPr>
      <w:r>
        <w:rPr>
          <w:lang w:val="en-GB"/>
        </w:rPr>
        <w:t xml:space="preserve">As there are walls encompassing this area, they are presumed to have a </w:t>
      </w:r>
      <w:r w:rsidR="00D731BE">
        <w:rPr>
          <w:lang w:val="en-GB"/>
        </w:rPr>
        <w:t>red</w:t>
      </w:r>
      <w:r>
        <w:rPr>
          <w:lang w:val="en-GB"/>
        </w:rPr>
        <w:t>-edge (</w:t>
      </w:r>
      <w:r w:rsidR="00D731BE">
        <w:rPr>
          <w:lang w:val="en-GB"/>
        </w:rPr>
        <w:t>matching up to the tiles</w:t>
      </w:r>
      <w:r>
        <w:rPr>
          <w:lang w:val="en-GB"/>
        </w:rPr>
        <w:t>).</w:t>
      </w:r>
    </w:p>
    <w:p w14:paraId="4BB3A382" w14:textId="373A1B5C" w:rsidR="00DC7E97" w:rsidRDefault="00DC7E97" w:rsidP="00823CE6">
      <w:pPr>
        <w:rPr>
          <w:lang w:val="en-GB"/>
        </w:rPr>
      </w:pPr>
      <w:r>
        <w:rPr>
          <w:noProof/>
          <w:lang w:val="en-GB"/>
        </w:rPr>
        <w:lastRenderedPageBreak/>
        <w:drawing>
          <wp:anchor distT="0" distB="0" distL="114300" distR="114300" simplePos="0" relativeHeight="251679744" behindDoc="0" locked="0" layoutInCell="1" allowOverlap="1" wp14:anchorId="32FAEB86" wp14:editId="4EA1303A">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C20">
        <w:rPr>
          <w:lang w:val="en-GB"/>
        </w:rPr>
        <w:t>A top-down view (</w:t>
      </w:r>
      <w:r w:rsidR="00277AD2">
        <w:rPr>
          <w:lang w:val="en-GB"/>
        </w:rPr>
        <w:t>to scale</w:t>
      </w:r>
      <w:r w:rsidR="00855C20">
        <w:rPr>
          <w:lang w:val="en-GB"/>
        </w:rPr>
        <w:t>), of all the Wang Tiles in the set, is provided below:</w:t>
      </w:r>
    </w:p>
    <w:p w14:paraId="37DD63CE" w14:textId="786B69A2" w:rsidR="00DD6960" w:rsidRDefault="00CC29A0" w:rsidP="00823CE6">
      <w:pPr>
        <w:rPr>
          <w:lang w:val="en-GB"/>
        </w:rPr>
      </w:pPr>
      <w:r>
        <w:rPr>
          <w:lang w:val="en-GB"/>
        </w:rPr>
        <w:t>There are 11 Wang Tiles</w:t>
      </w:r>
      <w:r w:rsidR="008339AA">
        <w:rPr>
          <w:lang w:val="en-GB"/>
        </w:rPr>
        <w:t xml:space="preserve"> </w:t>
      </w:r>
      <w:r w:rsidR="00855C20">
        <w:rPr>
          <w:lang w:val="en-GB"/>
        </w:rPr>
        <w:t>in this set used by the level-generator.</w:t>
      </w:r>
      <w:r w:rsidR="008339AA">
        <w:rPr>
          <w:lang w:val="en-GB"/>
        </w:rPr>
        <w:t xml:space="preserve"> </w:t>
      </w:r>
      <w:r w:rsidR="00855C20">
        <w:rPr>
          <w:lang w:val="en-GB"/>
        </w:rPr>
        <w:t>T</w:t>
      </w:r>
      <w:r w:rsidR="008339AA">
        <w:rPr>
          <w:lang w:val="en-GB"/>
        </w:rPr>
        <w:t>he anchor point of each object on the tile is 5 cm from the edge</w:t>
      </w:r>
      <w:r w:rsidR="00855C20">
        <w:rPr>
          <w:lang w:val="en-GB"/>
        </w:rPr>
        <w:t xml:space="preserv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w:t>
      </w:r>
      <w:r w:rsidR="009E2FA1">
        <w:rPr>
          <w:lang w:val="en-GB"/>
        </w:rPr>
        <w:t xml:space="preserve">,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sidR="00855C20">
        <w:rPr>
          <w:lang w:val="en-GB"/>
        </w:rPr>
        <w:t>):</w:t>
      </w:r>
      <w:r w:rsidR="00DD6960">
        <w:rPr>
          <w:lang w:val="en-GB"/>
        </w:rPr>
        <w:t xml:space="preserve"> (Omitted)</w:t>
      </w:r>
      <w:r w:rsidR="008B2660">
        <w:rPr>
          <w:lang w:val="en-GB"/>
        </w:rPr>
        <w:t xml:space="preserve"> The Geometry for Zones 9 and 11, allow the Player to pass through them, by (from the west or east to the opposite direction, over the obstacles in the Zone).</w:t>
      </w:r>
    </w:p>
    <w:p w14:paraId="2502BE81" w14:textId="2B1A365B" w:rsidR="00DD6960" w:rsidRDefault="00B65625" w:rsidP="00823CE6">
      <w:pPr>
        <w:rPr>
          <w:lang w:val="en-GB"/>
        </w:rPr>
      </w:pPr>
      <w:r>
        <w:rPr>
          <w:lang w:val="en-GB"/>
        </w:rPr>
        <w:t>These Edge colours, are represented on the diagram of Wang Tiles, as per the calculations, as shown below:</w:t>
      </w:r>
    </w:p>
    <w:p w14:paraId="32ADD004" w14:textId="44AE60DA" w:rsidR="00B65625" w:rsidRDefault="00DB1088" w:rsidP="00823CE6">
      <w:pPr>
        <w:rPr>
          <w:lang w:val="en-GB"/>
        </w:rPr>
      </w:pPr>
      <w:r>
        <w:rPr>
          <w:noProof/>
          <w:lang w:val="en-GB"/>
        </w:rPr>
        <w:drawing>
          <wp:anchor distT="0" distB="0" distL="114300" distR="114300" simplePos="0" relativeHeight="251680768" behindDoc="0" locked="0" layoutInCell="1" allowOverlap="1" wp14:anchorId="47F5B157" wp14:editId="2F600DDF">
            <wp:simplePos x="0" y="0"/>
            <wp:positionH relativeFrom="margin">
              <wp:align>left</wp:align>
            </wp:positionH>
            <wp:positionV relativeFrom="paragraph">
              <wp:posOffset>4818</wp:posOffset>
            </wp:positionV>
            <wp:extent cx="4945380" cy="277749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38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368">
        <w:rPr>
          <w:lang w:val="en-GB"/>
        </w:rPr>
        <w:t>As per the example grid layout (shown earlier in this section)</w:t>
      </w:r>
      <w:r w:rsidR="006A6C20">
        <w:rPr>
          <w:lang w:val="en-GB"/>
        </w:rPr>
        <w:t>, these tiles will now be placed onto the grid</w:t>
      </w:r>
      <w:r w:rsidR="005C4A09">
        <w:rPr>
          <w:lang w:val="en-GB"/>
        </w:rPr>
        <w:t>, making sure that they match up to the edges correctly.</w:t>
      </w:r>
    </w:p>
    <w:p w14:paraId="70C65991" w14:textId="04670FBB" w:rsidR="005C4A09" w:rsidRDefault="005C4A09" w:rsidP="00823CE6">
      <w:pPr>
        <w:rPr>
          <w:lang w:val="en-GB"/>
        </w:rPr>
      </w:pPr>
    </w:p>
    <w:p w14:paraId="00D33CBF" w14:textId="42CE2DA0" w:rsidR="005C4A09" w:rsidRDefault="005C4A09" w:rsidP="00823CE6">
      <w:pPr>
        <w:rPr>
          <w:lang w:val="en-GB"/>
        </w:rPr>
      </w:pPr>
    </w:p>
    <w:p w14:paraId="7AB91C7A" w14:textId="77777777" w:rsidR="005C4A09" w:rsidRDefault="005C4A09" w:rsidP="00823CE6">
      <w:pPr>
        <w:rPr>
          <w:lang w:val="en-GB"/>
        </w:rPr>
      </w:pPr>
    </w:p>
    <w:p w14:paraId="043488C9" w14:textId="77777777" w:rsidR="005C4A09" w:rsidRDefault="005C4A09">
      <w:pPr>
        <w:rPr>
          <w:lang w:val="en-GB"/>
        </w:rPr>
      </w:pPr>
      <w:r>
        <w:rPr>
          <w:lang w:val="en-GB"/>
        </w:rPr>
        <w:lastRenderedPageBreak/>
        <w:t xml:space="preserve">If there is more than one tile available, in the set of sub-tiles, that match the current grid position, a random number will be used to decide on which, generated by Random.org. </w:t>
      </w:r>
      <w:r w:rsidRPr="005C4A09">
        <w:rPr>
          <w:rStyle w:val="SubtleReference"/>
        </w:rPr>
        <w:t>(Random.org, 2018)</w:t>
      </w:r>
    </w:p>
    <w:p w14:paraId="10487447" w14:textId="1EF4BEE4" w:rsidR="008E194C" w:rsidRDefault="005C4A09">
      <w:pPr>
        <w:rPr>
          <w:lang w:val="en-GB"/>
        </w:rPr>
      </w:pPr>
      <w:r>
        <w:rPr>
          <w:lang w:val="en-GB"/>
        </w:rPr>
        <w:t>Placement of tiles will begin from the bottom left area to place a tile, moving rightwards.</w:t>
      </w:r>
      <w:r w:rsidR="008E194C">
        <w:rPr>
          <w:lang w:val="en-GB"/>
        </w:rPr>
        <w:br w:type="page"/>
      </w:r>
    </w:p>
    <w:p w14:paraId="7D0D8FEA" w14:textId="77777777" w:rsidR="00491A5E" w:rsidRDefault="00491A5E" w:rsidP="00823CE6">
      <w:pPr>
        <w:rPr>
          <w:lang w:val="en-GB"/>
        </w:rPr>
        <w:sectPr w:rsidR="00491A5E" w:rsidSect="006D704A">
          <w:pgSz w:w="12240" w:h="15840"/>
          <w:pgMar w:top="1440" w:right="1440" w:bottom="1440" w:left="1440" w:header="708" w:footer="708" w:gutter="0"/>
          <w:pgNumType w:start="0"/>
          <w:cols w:space="708"/>
          <w:titlePg/>
          <w:docGrid w:linePitch="360"/>
        </w:sectPr>
      </w:pPr>
    </w:p>
    <w:p w14:paraId="1C74DB95" w14:textId="3A828BF8" w:rsidR="00380950" w:rsidRPr="00000197" w:rsidRDefault="00A93A4C" w:rsidP="00823CE6">
      <w:pPr>
        <w:rPr>
          <w:rFonts w:eastAsiaTheme="minorEastAsia"/>
          <w:color w:val="2F5496" w:themeColor="accent1" w:themeShade="BF"/>
          <w:sz w:val="32"/>
          <w:szCs w:val="32"/>
          <w:lang w:val="en-GB"/>
        </w:rPr>
      </w:pPr>
      <w:commentRangeStart w:id="0"/>
      <w:r>
        <w:rPr>
          <w:lang w:val="en-GB"/>
        </w:rPr>
        <w:lastRenderedPageBreak/>
        <w:t>NOTE</w:t>
      </w:r>
      <w:commentRangeEnd w:id="0"/>
      <w:r>
        <w:rPr>
          <w:rStyle w:val="CommentReference"/>
        </w:rPr>
        <w:commentReference w:id="0"/>
      </w:r>
      <w:r w:rsidR="00380950" w:rsidRPr="00BB399F">
        <w:rPr>
          <w:lang w:val="en-GB"/>
        </w:rPr>
        <w:br w:type="page"/>
      </w:r>
    </w:p>
    <w:p w14:paraId="1B65E074" w14:textId="77777777" w:rsidR="00491A5E" w:rsidRDefault="00491A5E" w:rsidP="00595439">
      <w:pPr>
        <w:pStyle w:val="Heading1"/>
        <w:rPr>
          <w:lang w:val="en-GB"/>
        </w:rPr>
        <w:sectPr w:rsidR="00491A5E" w:rsidSect="00491A5E">
          <w:pgSz w:w="15840" w:h="12240" w:orient="landscape"/>
          <w:pgMar w:top="1440" w:right="1440" w:bottom="1440" w:left="1440" w:header="708" w:footer="708" w:gutter="0"/>
          <w:pgNumType w:start="0"/>
          <w:cols w:space="708"/>
          <w:titlePg/>
          <w:docGrid w:linePitch="360"/>
        </w:sectPr>
      </w:pPr>
    </w:p>
    <w:p w14:paraId="72754600" w14:textId="19E25865"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D41D0D"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0" o:title=""/>
            <w10:wrap type="square"/>
          </v:shape>
          <o:OLEObject Type="Embed" ProgID="Visio.Drawing.15" ShapeID="_x0000_s1030" DrawAspect="Content" ObjectID="_1582922200" r:id="rId21"/>
        </w:object>
      </w: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17D4B316" w14:textId="77777777" w:rsidR="005C4A09" w:rsidRDefault="006C6A0F">
              <w:pPr>
                <w:rPr>
                  <w:lang w:val="en-GB"/>
                </w:rPr>
              </w:pPr>
              <w:r w:rsidRPr="00BB399F">
                <w:rPr>
                  <w:rStyle w:val="IntenseReference"/>
                  <w:lang w:val="en-GB"/>
                </w:rPr>
                <w:t>NOLAND, M., 2015. C++ Extending the Editor | Live Training | Unreal En</w:t>
              </w:r>
              <w:bookmarkStart w:id="1" w:name="_GoBack"/>
              <w:bookmarkEnd w:id="1"/>
              <w:r w:rsidRPr="00BB399F">
                <w:rPr>
                  <w:rStyle w:val="IntenseReference"/>
                  <w:lang w:val="en-GB"/>
                </w:rPr>
                <w:t xml:space="preserve">gine. [Viewed on the 04/03/2018]. Available from: </w:t>
              </w:r>
              <w:hyperlink r:id="rId22"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3"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8-03-18T18:42:00Z" w:initials="jm">
    <w:p w14:paraId="3D407ED0" w14:textId="46E49DE2" w:rsidR="00A93A4C" w:rsidRDefault="00A93A4C">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10267B"/>
    <w:rsid w:val="001029E2"/>
    <w:rsid w:val="00122EB3"/>
    <w:rsid w:val="00140291"/>
    <w:rsid w:val="00155618"/>
    <w:rsid w:val="001C5368"/>
    <w:rsid w:val="00221C91"/>
    <w:rsid w:val="002306FA"/>
    <w:rsid w:val="00250FC6"/>
    <w:rsid w:val="00277AD2"/>
    <w:rsid w:val="0029334C"/>
    <w:rsid w:val="002B4AEF"/>
    <w:rsid w:val="002D75C2"/>
    <w:rsid w:val="003008B7"/>
    <w:rsid w:val="00305D07"/>
    <w:rsid w:val="0031512D"/>
    <w:rsid w:val="00332C60"/>
    <w:rsid w:val="00337930"/>
    <w:rsid w:val="0034069B"/>
    <w:rsid w:val="00380950"/>
    <w:rsid w:val="0039192A"/>
    <w:rsid w:val="003B69D4"/>
    <w:rsid w:val="0042356B"/>
    <w:rsid w:val="0044711F"/>
    <w:rsid w:val="004557CE"/>
    <w:rsid w:val="00491A5E"/>
    <w:rsid w:val="004A1467"/>
    <w:rsid w:val="004D41E9"/>
    <w:rsid w:val="004E58CD"/>
    <w:rsid w:val="00517357"/>
    <w:rsid w:val="00546095"/>
    <w:rsid w:val="0055227A"/>
    <w:rsid w:val="0055647C"/>
    <w:rsid w:val="0057050E"/>
    <w:rsid w:val="00583BB5"/>
    <w:rsid w:val="00591445"/>
    <w:rsid w:val="00595439"/>
    <w:rsid w:val="005975DB"/>
    <w:rsid w:val="00597C80"/>
    <w:rsid w:val="005C4A09"/>
    <w:rsid w:val="005D153A"/>
    <w:rsid w:val="005E0108"/>
    <w:rsid w:val="005F6AA2"/>
    <w:rsid w:val="00606100"/>
    <w:rsid w:val="006104AF"/>
    <w:rsid w:val="00650844"/>
    <w:rsid w:val="00672F9A"/>
    <w:rsid w:val="006736BE"/>
    <w:rsid w:val="00684FA3"/>
    <w:rsid w:val="006A6C20"/>
    <w:rsid w:val="006C235A"/>
    <w:rsid w:val="006C6A0F"/>
    <w:rsid w:val="006D704A"/>
    <w:rsid w:val="006E4599"/>
    <w:rsid w:val="006E6AE6"/>
    <w:rsid w:val="00753B3E"/>
    <w:rsid w:val="00771AB4"/>
    <w:rsid w:val="00776A94"/>
    <w:rsid w:val="00823CE6"/>
    <w:rsid w:val="00825685"/>
    <w:rsid w:val="008339AA"/>
    <w:rsid w:val="00837B02"/>
    <w:rsid w:val="00855C20"/>
    <w:rsid w:val="00883CAF"/>
    <w:rsid w:val="00883CBE"/>
    <w:rsid w:val="008B2660"/>
    <w:rsid w:val="008B5D01"/>
    <w:rsid w:val="008C0C78"/>
    <w:rsid w:val="008E194C"/>
    <w:rsid w:val="008F0786"/>
    <w:rsid w:val="00901949"/>
    <w:rsid w:val="00915190"/>
    <w:rsid w:val="009454FE"/>
    <w:rsid w:val="00947F0C"/>
    <w:rsid w:val="0095272F"/>
    <w:rsid w:val="00971963"/>
    <w:rsid w:val="00986B3A"/>
    <w:rsid w:val="009A3AEA"/>
    <w:rsid w:val="009B6DE9"/>
    <w:rsid w:val="009D7BFA"/>
    <w:rsid w:val="009E08B8"/>
    <w:rsid w:val="009E2FA1"/>
    <w:rsid w:val="009E6B1F"/>
    <w:rsid w:val="009F7485"/>
    <w:rsid w:val="009F768B"/>
    <w:rsid w:val="00A05F6B"/>
    <w:rsid w:val="00A13004"/>
    <w:rsid w:val="00A26CD1"/>
    <w:rsid w:val="00A30B88"/>
    <w:rsid w:val="00A33D00"/>
    <w:rsid w:val="00A47388"/>
    <w:rsid w:val="00A742B0"/>
    <w:rsid w:val="00A93A4C"/>
    <w:rsid w:val="00A9567A"/>
    <w:rsid w:val="00AA1184"/>
    <w:rsid w:val="00AB2748"/>
    <w:rsid w:val="00AF1A4B"/>
    <w:rsid w:val="00AF6ABD"/>
    <w:rsid w:val="00B07FF6"/>
    <w:rsid w:val="00B340BF"/>
    <w:rsid w:val="00B40C32"/>
    <w:rsid w:val="00B65625"/>
    <w:rsid w:val="00BA4BD1"/>
    <w:rsid w:val="00BB399F"/>
    <w:rsid w:val="00BC4ACE"/>
    <w:rsid w:val="00BE7FEB"/>
    <w:rsid w:val="00BF6076"/>
    <w:rsid w:val="00C17CB0"/>
    <w:rsid w:val="00C33311"/>
    <w:rsid w:val="00C35E2B"/>
    <w:rsid w:val="00C519C1"/>
    <w:rsid w:val="00C66FBB"/>
    <w:rsid w:val="00C76378"/>
    <w:rsid w:val="00C854AB"/>
    <w:rsid w:val="00C936E1"/>
    <w:rsid w:val="00CC29A0"/>
    <w:rsid w:val="00CD0533"/>
    <w:rsid w:val="00CD4857"/>
    <w:rsid w:val="00CE2052"/>
    <w:rsid w:val="00D054A7"/>
    <w:rsid w:val="00D13FA1"/>
    <w:rsid w:val="00D151D9"/>
    <w:rsid w:val="00D22A1D"/>
    <w:rsid w:val="00D242DF"/>
    <w:rsid w:val="00D302B3"/>
    <w:rsid w:val="00D41D0D"/>
    <w:rsid w:val="00D5565A"/>
    <w:rsid w:val="00D64778"/>
    <w:rsid w:val="00D7251D"/>
    <w:rsid w:val="00D731BE"/>
    <w:rsid w:val="00DA03EB"/>
    <w:rsid w:val="00DB1088"/>
    <w:rsid w:val="00DC418D"/>
    <w:rsid w:val="00DC7E97"/>
    <w:rsid w:val="00DD0390"/>
    <w:rsid w:val="00DD6960"/>
    <w:rsid w:val="00DE072C"/>
    <w:rsid w:val="00DF60A4"/>
    <w:rsid w:val="00E01B18"/>
    <w:rsid w:val="00E0469B"/>
    <w:rsid w:val="00E52AA9"/>
    <w:rsid w:val="00E73273"/>
    <w:rsid w:val="00E8141A"/>
    <w:rsid w:val="00E8453B"/>
    <w:rsid w:val="00EC1A40"/>
    <w:rsid w:val="00EE5016"/>
    <w:rsid w:val="00EF1C16"/>
    <w:rsid w:val="00F308BD"/>
    <w:rsid w:val="00F324EE"/>
    <w:rsid w:val="00F37C67"/>
    <w:rsid w:val="00F475BC"/>
    <w:rsid w:val="00F568A4"/>
    <w:rsid w:val="00FB376E"/>
    <w:rsid w:val="00FD12E3"/>
    <w:rsid w:val="00FF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random.org/" TargetMode="Externa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zg_VstBxDi8&amp;t=136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7E622-79E0-4712-9B57-7D474FE3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7</cp:revision>
  <dcterms:created xsi:type="dcterms:W3CDTF">2018-03-18T15:09:00Z</dcterms:created>
  <dcterms:modified xsi:type="dcterms:W3CDTF">2018-03-18T23:50:00Z</dcterms:modified>
</cp:coreProperties>
</file>