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35DA1F4C"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in a nutshell,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w:t>
      </w:r>
      <w:bookmarkStart w:id="0" w:name="_GoBack"/>
      <w:bookmarkEnd w:id="0"/>
      <w:r w:rsidR="005E29DC" w:rsidRPr="000A4C37">
        <w:rPr>
          <w:lang w:val="en-GB"/>
        </w:rPr>
        <w:t xml:space="preserve">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4D19FF61"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Pr="000A4C37">
        <w:rPr>
          <w:lang w:val="en-GB"/>
        </w:rPr>
        <w:t>:</w:t>
      </w:r>
    </w:p>
    <w:p w14:paraId="485CD742" w14:textId="0B06EAF7" w:rsidR="006E214F" w:rsidRPr="000A4C37" w:rsidRDefault="006E214F" w:rsidP="006E214F">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all of the routes that the Player can take to navigate through the level</w:t>
      </w:r>
    </w:p>
    <w:p w14:paraId="0C72B6DC" w14:textId="19C7AB64" w:rsidR="006E214F" w:rsidRPr="000A4C37" w:rsidRDefault="00143847" w:rsidP="006E214F">
      <w:pPr>
        <w:pStyle w:val="ListParagraph"/>
        <w:numPr>
          <w:ilvl w:val="0"/>
          <w:numId w:val="2"/>
        </w:numPr>
        <w:rPr>
          <w:lang w:val="en-GB"/>
        </w:rPr>
      </w:pPr>
      <w:r>
        <w:rPr>
          <w:lang w:val="en-GB"/>
        </w:rPr>
        <w:t xml:space="preserve">Bonus Phase One: </w:t>
      </w:r>
      <w:r w:rsidR="004C521B" w:rsidRPr="000A4C37">
        <w:rPr>
          <w:lang w:val="en-GB"/>
        </w:rPr>
        <w:t xml:space="preserve">Collision Bounds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xml:space="preserve">. </w:t>
      </w:r>
      <w:r w:rsidR="004C521B"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0EF11357" w:rsidR="004C521B" w:rsidRPr="000A4C37" w:rsidRDefault="00143847" w:rsidP="006E214F">
      <w:pPr>
        <w:pStyle w:val="ListParagraph"/>
        <w:numPr>
          <w:ilvl w:val="0"/>
          <w:numId w:val="2"/>
        </w:numPr>
        <w:rPr>
          <w:lang w:val="en-GB"/>
        </w:rPr>
      </w:pPr>
      <w:r>
        <w:rPr>
          <w:lang w:val="en-GB"/>
        </w:rPr>
        <w:t xml:space="preserve">Bonus Phase Two: </w:t>
      </w:r>
      <w:r w:rsidR="00DC635E" w:rsidRPr="000A4C37">
        <w:rPr>
          <w:lang w:val="en-GB"/>
        </w:rPr>
        <w:t xml:space="preserve">Texture Phase: </w:t>
      </w:r>
      <w:r w:rsidRPr="000A4C37">
        <w:rPr>
          <w:lang w:val="en-GB"/>
        </w:rPr>
        <w:t>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00DC635E" w:rsidRPr="000A4C37">
        <w:rPr>
          <w:lang w:val="en-GB"/>
        </w:rPr>
        <w:t xml:space="preserve">After a level with suitable geometry and collision bounds has been generated, comes that of applying appropriate </w:t>
      </w:r>
      <w:r w:rsidR="00DC635E" w:rsidRPr="000A4C37">
        <w:rPr>
          <w:lang w:val="en-GB"/>
        </w:rPr>
        <w:lastRenderedPageBreak/>
        <w:t>textures to the geometry, as per the setting of the game’s level (such as clinical, office related textures, for the corridors/cubicles and walls, of an office building)</w:t>
      </w:r>
    </w:p>
    <w:p w14:paraId="15FE9515" w14:textId="6A182157" w:rsidR="00DC635E" w:rsidRPr="000A4C37" w:rsidRDefault="00DC635E" w:rsidP="006E214F">
      <w:pPr>
        <w:pStyle w:val="ListParagraph"/>
        <w:numPr>
          <w:ilvl w:val="0"/>
          <w:numId w:val="2"/>
        </w:numPr>
        <w:rPr>
          <w:lang w:val="en-GB"/>
        </w:rPr>
      </w:pPr>
      <w:r w:rsidRPr="000A4C37">
        <w:rPr>
          <w:lang w:val="en-GB"/>
        </w:rPr>
        <w:t xml:space="preserve">Bonus Phase </w:t>
      </w:r>
      <w:r w:rsidR="00143847">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sidR="00143847">
        <w:rPr>
          <w:lang w:val="en-GB"/>
        </w:rPr>
        <w:t xml:space="preserve"> </w:t>
      </w:r>
      <w:r w:rsidRPr="000A4C37">
        <w:rPr>
          <w:lang w:val="en-GB"/>
        </w:rPr>
        <w:t>phase of the project</w:t>
      </w:r>
      <w:r w:rsidR="00D51EC6">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253D9B7B" w:rsidR="00DC635E" w:rsidRPr="000A4C37" w:rsidRDefault="00DC635E" w:rsidP="006E214F">
      <w:pPr>
        <w:pStyle w:val="ListParagraph"/>
        <w:numPr>
          <w:ilvl w:val="0"/>
          <w:numId w:val="2"/>
        </w:numPr>
        <w:rPr>
          <w:lang w:val="en-GB"/>
        </w:rPr>
      </w:pPr>
      <w:r w:rsidRPr="000A4C37">
        <w:rPr>
          <w:lang w:val="en-GB"/>
        </w:rPr>
        <w:t xml:space="preserve">Bonus Phase </w:t>
      </w:r>
      <w:r w:rsidR="00D51EC6">
        <w:rPr>
          <w:lang w:val="en-GB"/>
        </w:rPr>
        <w:t>Four</w:t>
      </w:r>
      <w:r w:rsidRPr="000A4C37">
        <w:rPr>
          <w:lang w:val="en-GB"/>
        </w:rPr>
        <w:t>: Lighting Phase: This is a bonus phase (a stretch goal), as it is not critical to the purpose of the project and will only receive implementation, if there is suitable time for such, after completing the first phase of the project</w:t>
      </w:r>
      <w:r w:rsidR="00D51EC6">
        <w:rPr>
          <w:lang w:val="en-GB"/>
        </w:rPr>
        <w:t>, along with the first three bonus phases</w:t>
      </w:r>
      <w:r w:rsidRPr="000A4C37">
        <w:rPr>
          <w:lang w:val="en-GB"/>
        </w:rPr>
        <w:t xml:space="preserve">.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sidRPr="000A4C37">
        <w:rPr>
          <w:lang w:val="en-GB"/>
        </w:rPr>
        <w:t>Level-Generator (coming from ceiling lights, lamps, torches</w:t>
      </w:r>
      <w:r w:rsidR="00EF27AF" w:rsidRPr="000A4C37">
        <w:rPr>
          <w:lang w:val="en-GB"/>
        </w:rPr>
        <w:t xml:space="preserve">, external sources (such as from windows), as well as from certain other props in the level (such as a mobile-light source, provided to one or </w:t>
      </w:r>
      <w:r w:rsidR="0059141E" w:rsidRPr="000A4C37">
        <w:rPr>
          <w:lang w:val="en-GB"/>
        </w:rPr>
        <w:t>both teams</w:t>
      </w:r>
      <w:r w:rsidR="00EF27AF" w:rsidRPr="000A4C37">
        <w:rPr>
          <w:lang w:val="en-GB"/>
        </w:rPr>
        <w:t>)</w:t>
      </w:r>
    </w:p>
    <w:p w14:paraId="0FBE24ED" w14:textId="59CDC70B" w:rsidR="0001627C" w:rsidRPr="000A4C37" w:rsidRDefault="0001627C" w:rsidP="0001627C">
      <w:pPr>
        <w:pStyle w:val="Heading1"/>
        <w:rPr>
          <w:lang w:val="en-GB"/>
        </w:rPr>
      </w:pPr>
      <w:r w:rsidRPr="000A4C37">
        <w:rPr>
          <w:lang w:val="en-GB"/>
        </w:rPr>
        <w:t>Overall Aim(s)</w:t>
      </w:r>
    </w:p>
    <w:p w14:paraId="28E6F718" w14:textId="1EAB01E3"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This will be </w:t>
      </w:r>
      <w:r w:rsidR="00F94635">
        <w:rPr>
          <w:lang w:val="en-GB"/>
        </w:rPr>
        <w:t>implemented as</w:t>
      </w:r>
      <w:r w:rsidR="006D2496">
        <w:rPr>
          <w:lang w:val="en-GB"/>
        </w:rPr>
        <w:t xml:space="preserve"> either an engine plugin for the Unity or Unreal Engine 4 (UE4) game-engines, or as a stand-alone native-C++ application.</w:t>
      </w:r>
      <w:r w:rsidR="00A45485" w:rsidRPr="000A4C37">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lastRenderedPageBreak/>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lastRenderedPageBreak/>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0EE38708" w14:textId="2F156D62" w:rsidR="00E13AAB" w:rsidRPr="000A4C37" w:rsidRDefault="00E13AAB" w:rsidP="00E13AAB">
      <w:pPr>
        <w:rPr>
          <w:rStyle w:val="SubtleReference"/>
          <w:lang w:val="en-GB"/>
        </w:rPr>
      </w:pPr>
      <w:r w:rsidRPr="000A4C37">
        <w:rPr>
          <w:lang w:val="en-GB"/>
        </w:rPr>
        <w:t xml:space="preserve">The techniques used to manage the project, are most notably that of the Program Evaluation Review Technique (PERT) Charts and Gantt Charts, for suitable time management of </w:t>
      </w:r>
      <w:r w:rsidR="000A4C37" w:rsidRPr="000A4C37">
        <w:rPr>
          <w:lang w:val="en-GB"/>
        </w:rPr>
        <w:t>the Project</w:t>
      </w:r>
      <w:r w:rsidRPr="000A4C37">
        <w:rPr>
          <w:lang w:val="en-GB"/>
        </w:rPr>
        <w:t xml:space="preserve">, to keep on track with the project, not finishing tasks too late or too early </w:t>
      </w:r>
      <w:r w:rsidRPr="000A4C37">
        <w:rPr>
          <w:rStyle w:val="SubtleReference"/>
          <w:lang w:val="en-GB"/>
        </w:rPr>
        <w:t>(</w:t>
      </w:r>
      <w:r w:rsidR="00B06C2D">
        <w:rPr>
          <w:rStyle w:val="SubtleReference"/>
          <w:lang w:val="en-GB"/>
        </w:rPr>
        <w:t>James</w:t>
      </w:r>
      <w:r w:rsidRPr="000A4C37">
        <w:rPr>
          <w:rStyle w:val="SubtleReference"/>
          <w:lang w:val="en-GB"/>
        </w:rPr>
        <w:t xml:space="preserve"> </w:t>
      </w:r>
      <w:r w:rsidR="00B06C2D">
        <w:rPr>
          <w:rStyle w:val="SubtleReference"/>
          <w:lang w:val="en-GB"/>
        </w:rPr>
        <w:t>Moran</w:t>
      </w:r>
      <w:r w:rsidRPr="000A4C37">
        <w:rPr>
          <w:rStyle w:val="SubtleReference"/>
          <w:lang w:val="en-GB"/>
        </w:rPr>
        <w:t>, 20</w:t>
      </w:r>
      <w:r w:rsidR="00B06C2D">
        <w:rPr>
          <w:rStyle w:val="SubtleReference"/>
          <w:lang w:val="en-GB"/>
        </w:rPr>
        <w:t>17</w:t>
      </w:r>
      <w:r w:rsidRPr="000A4C37">
        <w:rPr>
          <w:rStyle w:val="SubtleReference"/>
          <w:lang w:val="en-GB"/>
        </w:rPr>
        <w:t>).</w:t>
      </w:r>
    </w:p>
    <w:p w14:paraId="49BFEEAF" w14:textId="43E6F2EF" w:rsidR="00143847" w:rsidRDefault="00E13AAB" w:rsidP="00143847">
      <w:pPr>
        <w:rPr>
          <w:rStyle w:val="SubtleReference"/>
        </w:rPr>
      </w:pPr>
      <w:r w:rsidRPr="000A4C37">
        <w:rPr>
          <w:lang w:val="en-GB"/>
        </w:rPr>
        <w:t>The Software Development Methodolo</w:t>
      </w:r>
      <w:r w:rsidR="0059141E">
        <w:rPr>
          <w:lang w:val="en-GB"/>
        </w:rPr>
        <w:t>gies</w:t>
      </w:r>
      <w:r w:rsidRPr="000A4C37">
        <w:rPr>
          <w:lang w:val="en-GB"/>
        </w:rPr>
        <w:t xml:space="preserve"> </w:t>
      </w:r>
      <w:r w:rsidR="0059141E">
        <w:rPr>
          <w:lang w:val="en-GB"/>
        </w:rPr>
        <w:t>considered for the project</w:t>
      </w:r>
      <w:r w:rsidRPr="000A4C37">
        <w:rPr>
          <w:lang w:val="en-GB"/>
        </w:rPr>
        <w:t xml:space="preserve">, </w:t>
      </w:r>
      <w:r w:rsidR="0059141E">
        <w:rPr>
          <w:lang w:val="en-GB"/>
        </w:rPr>
        <w:t>are</w:t>
      </w:r>
      <w:r w:rsidRPr="000A4C37">
        <w:rPr>
          <w:lang w:val="en-GB"/>
        </w:rPr>
        <w:t xml:space="preserve"> that of the Spiral Methodology</w:t>
      </w:r>
      <w:r w:rsidR="0059141E">
        <w:rPr>
          <w:lang w:val="en-GB"/>
        </w:rPr>
        <w:t>, the Agile Methodology and the Feature Driven Development Methodology</w:t>
      </w:r>
      <w:r w:rsidRPr="000A4C37">
        <w:rPr>
          <w:lang w:val="en-GB"/>
        </w:rPr>
        <w:t>.</w:t>
      </w:r>
      <w:r w:rsidR="00143847">
        <w:rPr>
          <w:lang w:val="en-GB"/>
        </w:rPr>
        <w:t xml:space="preserve"> </w:t>
      </w:r>
      <w:r w:rsidR="00143847" w:rsidRPr="00EF54CE">
        <w:rPr>
          <w:rStyle w:val="SubtleReference"/>
        </w:rPr>
        <w:t>(IT Knowledge Portal, 2017)</w:t>
      </w:r>
    </w:p>
    <w:p w14:paraId="72F588C1" w14:textId="039A91ED" w:rsidR="00E13AAB" w:rsidRPr="000A4C37" w:rsidRDefault="00E13AAB" w:rsidP="00E13AAB">
      <w:pPr>
        <w:rPr>
          <w:lang w:val="en-GB"/>
        </w:rPr>
      </w:pPr>
      <w:r w:rsidRPr="000A4C37">
        <w:rPr>
          <w:lang w:val="en-GB"/>
        </w:rPr>
        <w:t xml:space="preserve">The project management tools </w:t>
      </w:r>
      <w:r w:rsidR="00143847">
        <w:rPr>
          <w:lang w:val="en-GB"/>
        </w:rPr>
        <w:t>considered for this project</w:t>
      </w:r>
      <w:r w:rsidRPr="000A4C37">
        <w:rPr>
          <w:lang w:val="en-GB"/>
        </w:rPr>
        <w:t>, are that of Microsoft Project, to construct PERT and Gantt Charts, along with Microsoft Visio, for creating Flow Diagrams/UML Activity Diagrams, UML Class Diagrams etc.</w:t>
      </w:r>
    </w:p>
    <w:p w14:paraId="508C3B37" w14:textId="2E60F223" w:rsidR="00E13AAB" w:rsidRPr="000A4C37" w:rsidRDefault="00143847" w:rsidP="00E13AAB">
      <w:pPr>
        <w:rPr>
          <w:lang w:val="en-GB"/>
        </w:rPr>
      </w:pPr>
      <w:r>
        <w:rPr>
          <w:lang w:val="en-GB"/>
        </w:rPr>
        <w:t>The use of a</w:t>
      </w:r>
      <w:r w:rsidR="00E13AAB" w:rsidRPr="000A4C37">
        <w:rPr>
          <w:lang w:val="en-GB"/>
        </w:rPr>
        <w:t xml:space="preserve"> Trello board, </w:t>
      </w:r>
      <w:r>
        <w:rPr>
          <w:lang w:val="en-GB"/>
        </w:rPr>
        <w:t>will also be considered f</w:t>
      </w:r>
      <w:r w:rsidR="00E13AAB" w:rsidRPr="000A4C37">
        <w:rPr>
          <w:lang w:val="en-GB"/>
        </w:rPr>
        <w:t xml:space="preserve">or the project, </w:t>
      </w:r>
      <w:r w:rsidR="000C2C33" w:rsidRPr="000A4C37">
        <w:rPr>
          <w:lang w:val="en-GB"/>
        </w:rPr>
        <w:t>to</w:t>
      </w:r>
      <w:r w:rsidR="00E13AAB" w:rsidRPr="000A4C37">
        <w:rPr>
          <w:lang w:val="en-GB"/>
        </w:rPr>
        <w:t xml:space="preserve"> make sure that certain important tasks, receive the necessary priority required to conduct the necessary sub-tasks for the project.</w:t>
      </w:r>
    </w:p>
    <w:p w14:paraId="2EC8846C" w14:textId="5CE9972E" w:rsidR="00E13AAB" w:rsidRPr="000A4C37" w:rsidRDefault="00E13AAB" w:rsidP="00E13AAB">
      <w:pPr>
        <w:rPr>
          <w:lang w:val="en-GB"/>
        </w:rPr>
      </w:pPr>
      <w:r w:rsidRPr="000A4C37">
        <w:rPr>
          <w:lang w:val="en-GB"/>
        </w:rPr>
        <w:t xml:space="preserve">Along with </w:t>
      </w:r>
      <w:r w:rsidR="00143847">
        <w:rPr>
          <w:lang w:val="en-GB"/>
        </w:rPr>
        <w:t>such considerations</w:t>
      </w:r>
      <w:r w:rsidRPr="000A4C37">
        <w:rPr>
          <w:lang w:val="en-GB"/>
        </w:rPr>
        <w:t xml:space="preserve">, source control for the project’s source files will </w:t>
      </w:r>
      <w:r w:rsidR="00E35859">
        <w:rPr>
          <w:lang w:val="en-GB"/>
        </w:rPr>
        <w:t>also be</w:t>
      </w:r>
      <w:r w:rsidR="00143847">
        <w:rPr>
          <w:lang w:val="en-GB"/>
        </w:rPr>
        <w:t xml:space="preserve"> considered</w:t>
      </w:r>
      <w:r w:rsidR="00E35859">
        <w:rPr>
          <w:lang w:val="en-GB"/>
        </w:rPr>
        <w:t xml:space="preserve">. </w:t>
      </w:r>
      <w:r w:rsidR="00143847">
        <w:rPr>
          <w:lang w:val="en-GB"/>
        </w:rPr>
        <w:t>In particular, t</w:t>
      </w:r>
      <w:r w:rsidRPr="000A4C37">
        <w:rPr>
          <w:lang w:val="en-GB"/>
        </w:rPr>
        <w:t>he GIT source control system</w:t>
      </w:r>
      <w:r w:rsidR="000C7B24">
        <w:rPr>
          <w:lang w:val="en-GB"/>
        </w:rPr>
        <w:t xml:space="preserve"> </w:t>
      </w:r>
      <w:r w:rsidR="00143847">
        <w:rPr>
          <w:lang w:val="en-GB"/>
        </w:rPr>
        <w:t>will be considered first, with</w:t>
      </w:r>
      <w:r w:rsidR="00E35859">
        <w:rPr>
          <w:lang w:val="en-GB"/>
        </w:rPr>
        <w:t xml:space="preserve"> </w:t>
      </w:r>
      <w:r w:rsidR="000C7B24">
        <w:rPr>
          <w:lang w:val="en-GB"/>
        </w:rPr>
        <w:t>a sub-system that uses GIT (such as GitHub and GitKraken)</w:t>
      </w:r>
      <w:r w:rsidRPr="000A4C37">
        <w:rPr>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1"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1"/>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2A6DE33F" w14:textId="1BDCC6A2" w:rsidR="00E6542C" w:rsidRPr="000A4C37" w:rsidRDefault="009968AA" w:rsidP="00E13AAB">
      <w:pPr>
        <w:rPr>
          <w:lang w:val="en-GB"/>
        </w:rPr>
      </w:pPr>
      <w:r w:rsidRPr="000A4C37">
        <w:rPr>
          <w:lang w:val="en-GB"/>
        </w:rPr>
        <w:tab/>
      </w:r>
      <w:r w:rsidRPr="000A4C37">
        <w:rPr>
          <w:lang w:val="en-GB"/>
        </w:rPr>
        <w:tab/>
      </w:r>
      <w:r w:rsidRPr="000A4C37">
        <w:rPr>
          <w:lang w:val="en-GB"/>
        </w:rPr>
        <w:tab/>
      </w:r>
      <w:r w:rsidR="00E6542C" w:rsidRPr="000A4C37">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p w14:paraId="0A123775" w14:textId="24BE91DE" w:rsidR="00E6542C" w:rsidRPr="000A4C37" w:rsidRDefault="00E6542C">
          <w:pPr>
            <w:pStyle w:val="Heading1"/>
            <w:rPr>
              <w:lang w:val="en-GB"/>
            </w:rPr>
          </w:pPr>
          <w:r w:rsidRPr="000A4C37">
            <w:rPr>
              <w:lang w:val="en-GB"/>
            </w:rPr>
            <w:t>References</w:t>
          </w:r>
        </w:p>
        <w:sdt>
          <w:sdtPr>
            <w:rPr>
              <w:lang w:val="en-GB"/>
            </w:rPr>
            <w:id w:val="-573587230"/>
            <w:bibliography/>
          </w:sdtPr>
          <w:sdtEndPr/>
          <w:sdtContent>
            <w:p w14:paraId="3C0EB341" w14:textId="0D4E5180" w:rsidR="005E29DC" w:rsidRDefault="005E29DC" w:rsidP="005E29DC">
              <w:pPr>
                <w:pStyle w:val="ListParagraph"/>
                <w:numPr>
                  <w:ilvl w:val="0"/>
                  <w:numId w:val="1"/>
                </w:numPr>
                <w:rPr>
                  <w:rStyle w:val="IntenseReference"/>
                  <w:lang w:val="en-GB"/>
                </w:rPr>
              </w:pPr>
              <w:r w:rsidRPr="000A4C37">
                <w:rPr>
                  <w:rStyle w:val="IntenseReference"/>
                  <w:lang w:val="en-GB"/>
                </w:rPr>
                <w:t xml:space="preserve">LevelCapGaming, 2014. </w:t>
              </w:r>
              <w:r w:rsidRPr="000A4C37">
                <w:rPr>
                  <w:rStyle w:val="IntenseReference"/>
                  <w:i/>
                  <w:lang w:val="en-GB"/>
                </w:rPr>
                <w:t>FPS Level Design – LevelCap Bashes BF4 Map Design</w:t>
              </w:r>
              <w:r w:rsidRPr="000A4C37">
                <w:rPr>
                  <w:rStyle w:val="IntenseReference"/>
                  <w:lang w:val="en-GB"/>
                </w:rPr>
                <w:t xml:space="preserve"> [viewed 02/12/2017]. Available from: </w:t>
              </w:r>
              <w:hyperlink r:id="rId8" w:history="1">
                <w:r w:rsidRPr="000A4C37">
                  <w:rPr>
                    <w:rStyle w:val="IntenseReference"/>
                    <w:lang w:val="en-GB"/>
                  </w:rPr>
                  <w:t>https://www.youtube.com/watch?v=FN7iLKUR8eY</w:t>
                </w:r>
              </w:hyperlink>
            </w:p>
            <w:p w14:paraId="0FF48642" w14:textId="78E55C26" w:rsidR="006D2496" w:rsidRPr="006D2496" w:rsidRDefault="004F0B7E" w:rsidP="006D2496">
              <w:pPr>
                <w:pStyle w:val="ListParagraph"/>
                <w:numPr>
                  <w:ilvl w:val="0"/>
                  <w:numId w:val="1"/>
                </w:numPr>
                <w:rPr>
                  <w:rStyle w:val="IntenseReference"/>
                  <w:lang w:val="en-GB"/>
                </w:rPr>
              </w:pPr>
              <w:r>
                <w:rPr>
                  <w:rStyle w:val="IntenseReference"/>
                  <w:lang w:val="en-GB"/>
                </w:rPr>
                <w:t>James Moran, 2017. CGP504 – Project Development and Project Preparation</w:t>
              </w:r>
              <w:r w:rsidR="006D2496">
                <w:rPr>
                  <w:rStyle w:val="IntenseReference"/>
                  <w:lang w:val="en-GB"/>
                </w:rPr>
                <w:t>.</w:t>
              </w:r>
              <w:r>
                <w:rPr>
                  <w:rStyle w:val="IntenseReference"/>
                  <w:lang w:val="en-GB"/>
                </w:rPr>
                <w:t xml:space="preserve"> </w:t>
              </w:r>
              <w:r w:rsidR="006D2496">
                <w:rPr>
                  <w:rStyle w:val="IntenseReference"/>
                  <w:lang w:val="en-GB"/>
                </w:rPr>
                <w:t xml:space="preserve">Southampton Solent University, </w:t>
              </w:r>
              <w:r>
                <w:rPr>
                  <w:rStyle w:val="IntenseReference"/>
                  <w:lang w:val="en-GB"/>
                </w:rPr>
                <w:t>CGP504</w:t>
              </w:r>
              <w:r w:rsidR="006D2496">
                <w:rPr>
                  <w:rStyle w:val="IntenseReference"/>
                  <w:lang w:val="en-GB"/>
                </w:rPr>
                <w:t>, BSc Computer Games (Software Development), 2</w:t>
              </w:r>
              <w:r w:rsidR="006D2496" w:rsidRPr="006D2496">
                <w:rPr>
                  <w:rStyle w:val="IntenseReference"/>
                  <w:vertAlign w:val="superscript"/>
                  <w:lang w:val="en-GB"/>
                </w:rPr>
                <w:t>nd</w:t>
              </w:r>
              <w:r w:rsidR="006D2496">
                <w:rPr>
                  <w:rStyle w:val="IntenseReference"/>
                  <w:lang w:val="en-GB"/>
                </w:rPr>
                <w:t xml:space="preserve"> Year. Submitted online via Solent Online Learning. Available at: </w:t>
              </w:r>
              <w:hyperlink r:id="rId9" w:history="1">
                <w:r w:rsidR="006D2496" w:rsidRPr="006D2496">
                  <w:rPr>
                    <w:rStyle w:val="IntenseReference"/>
                    <w:lang w:val="en-GB"/>
                  </w:rPr>
                  <w:t>https://learn.solent.ac.uk/</w:t>
                </w:r>
              </w:hyperlink>
              <w:r w:rsidR="006D2496">
                <w:rPr>
                  <w:rStyle w:val="IntenseReference"/>
                  <w:lang w:val="en-GB"/>
                </w:rPr>
                <w:t xml:space="preserve"> </w:t>
              </w:r>
            </w:p>
            <w:p w14:paraId="0ECF32DE" w14:textId="70EB02B2" w:rsidR="00205190" w:rsidRPr="000A4C37" w:rsidRDefault="00205190" w:rsidP="00205190">
              <w:pPr>
                <w:pStyle w:val="ListParagraph"/>
                <w:numPr>
                  <w:ilvl w:val="0"/>
                  <w:numId w:val="1"/>
                </w:numPr>
                <w:rPr>
                  <w:rStyle w:val="IntenseReference"/>
                  <w:lang w:val="en-GB"/>
                </w:rPr>
              </w:pPr>
              <w:r w:rsidRPr="000A4C37">
                <w:rPr>
                  <w:rStyle w:val="IntenseReference"/>
                  <w:lang w:val="en-GB"/>
                </w:rPr>
                <w:t xml:space="preserve">©2017 Springer International Publishing AG. Procedural Content Generation in Games [viewed on the 05/12/2017]. Available from: </w:t>
              </w:r>
              <w:hyperlink r:id="rId10" w:history="1">
                <w:r w:rsidRPr="000A4C37">
                  <w:rPr>
                    <w:rStyle w:val="IntenseReference"/>
                    <w:lang w:val="en-GB"/>
                  </w:rPr>
                  <w:t>http://www.springer.com/gb/book/9783319427140</w:t>
                </w:r>
              </w:hyperlink>
            </w:p>
            <w:p w14:paraId="516FEAA2" w14:textId="424A2534" w:rsidR="00360DD0" w:rsidRPr="000A4C37" w:rsidRDefault="00360DD0" w:rsidP="00360DD0">
              <w:pPr>
                <w:pStyle w:val="ListParagraph"/>
                <w:numPr>
                  <w:ilvl w:val="0"/>
                  <w:numId w:val="1"/>
                </w:numPr>
                <w:rPr>
                  <w:rStyle w:val="IntenseReference"/>
                  <w:lang w:val="en-GB"/>
                </w:rPr>
              </w:pPr>
              <w:r w:rsidRPr="000A4C37">
                <w:rPr>
                  <w:rStyle w:val="IntenseReference"/>
                  <w:lang w:val="en-GB"/>
                </w:rPr>
                <w:t xml:space="preserve">©2017 CRC Press, Taylor &amp; Francis Group. Level Design: Processes and Experiences [viewed on the 05/12/2017]. Available from: </w:t>
              </w:r>
              <w:hyperlink r:id="rId11" w:history="1">
                <w:r w:rsidRPr="000A4C37">
                  <w:rPr>
                    <w:rStyle w:val="IntenseReference"/>
                    <w:lang w:val="en-GB"/>
                  </w:rPr>
                  <w:t>https://www.crcpress.com/Level-Design-Processes-and-Experiences/Totten/p/book/9781498745055</w:t>
                </w:r>
              </w:hyperlink>
            </w:p>
            <w:p w14:paraId="64D0A653" w14:textId="3D78E225" w:rsidR="008D7CD5" w:rsidRPr="000A4C37" w:rsidRDefault="00CF39CB" w:rsidP="008D7CD5">
              <w:pPr>
                <w:pStyle w:val="ListParagraph"/>
                <w:numPr>
                  <w:ilvl w:val="0"/>
                  <w:numId w:val="1"/>
                </w:numPr>
                <w:rPr>
                  <w:rStyle w:val="IntenseReference"/>
                  <w:lang w:val="en-GB"/>
                </w:rPr>
              </w:pPr>
              <w:r w:rsidRPr="000A4C37">
                <w:rPr>
                  <w:rStyle w:val="IntenseReference"/>
                  <w:lang w:val="en-GB"/>
                </w:rPr>
                <w:t xml:space="preserve">Kenneth M. Hullet, 2012. </w:t>
              </w:r>
              <w:r w:rsidRPr="000A4C37">
                <w:rPr>
                  <w:rStyle w:val="IntenseReference"/>
                  <w:i/>
                  <w:lang w:val="en-GB"/>
                </w:rPr>
                <w:t>The Science of Level Design: Design Patterns and Analysis of Player Behavior in First-Person Shooter Levels</w:t>
              </w:r>
              <w:r w:rsidRPr="000A4C37">
                <w:rPr>
                  <w:rStyle w:val="IntenseReference"/>
                  <w:lang w:val="en-GB"/>
                </w:rPr>
                <w:t xml:space="preserve">. University of California, Santa Cruz: </w:t>
              </w:r>
              <w:r w:rsidR="009126C7" w:rsidRPr="000A4C37">
                <w:rPr>
                  <w:rStyle w:val="IntenseReference"/>
                  <w:lang w:val="en-GB"/>
                </w:rPr>
                <w:t xml:space="preserve">University of </w:t>
              </w:r>
              <w:commentRangeStart w:id="2"/>
              <w:r w:rsidR="009126C7" w:rsidRPr="000A4C37">
                <w:rPr>
                  <w:rStyle w:val="IntenseReference"/>
                  <w:lang w:val="en-GB"/>
                </w:rPr>
                <w:t>California</w:t>
              </w:r>
              <w:commentRangeEnd w:id="2"/>
              <w:r w:rsidR="00265ACB" w:rsidRPr="000A4C37">
                <w:rPr>
                  <w:rStyle w:val="CommentReference"/>
                  <w:lang w:val="en-GB"/>
                </w:rPr>
                <w:commentReference w:id="2"/>
              </w:r>
              <w:r w:rsidRPr="000A4C37">
                <w:rPr>
                  <w:rStyle w:val="IntenseReference"/>
                  <w:lang w:val="en-GB"/>
                </w:rPr>
                <w:t xml:space="preserve"> [viewed on the 05/12/2017]. Available from: </w:t>
              </w:r>
              <w:hyperlink r:id="rId15" w:history="1">
                <w:r w:rsidRPr="000A4C37">
                  <w:rPr>
                    <w:rStyle w:val="IntenseReference"/>
                    <w:lang w:val="en-GB"/>
                  </w:rPr>
                  <w:t>https://users.soe.ucsc.edu/~ejw/dissertations/Ken-Hullett-dissertation.pdf</w:t>
                </w:r>
              </w:hyperlink>
            </w:p>
            <w:p w14:paraId="20225FDE" w14:textId="13BA7AC8" w:rsidR="001831CF" w:rsidRPr="001831CF" w:rsidRDefault="001831CF" w:rsidP="001831CF">
              <w:pPr>
                <w:pStyle w:val="ListParagraph"/>
                <w:numPr>
                  <w:ilvl w:val="0"/>
                  <w:numId w:val="1"/>
                </w:numPr>
                <w:spacing w:after="0" w:line="240" w:lineRule="auto"/>
                <w:rPr>
                  <w:rStyle w:val="IntenseReference"/>
                </w:rPr>
              </w:pPr>
              <w:r w:rsidRPr="001831CF">
                <w:rPr>
                  <w:rStyle w:val="IntenseReference"/>
                </w:rPr>
                <w:t xml:space="preserve">IT Knowledge portal, 2017. Software Development Methodologies [viewed </w:t>
              </w:r>
              <w:r>
                <w:rPr>
                  <w:rStyle w:val="IntenseReference"/>
                </w:rPr>
                <w:t>09</w:t>
              </w:r>
              <w:r w:rsidRPr="001831CF">
                <w:rPr>
                  <w:rStyle w:val="IntenseReference"/>
                </w:rPr>
                <w:t>/</w:t>
              </w:r>
              <w:r>
                <w:rPr>
                  <w:rStyle w:val="IntenseReference"/>
                </w:rPr>
                <w:t>12</w:t>
              </w:r>
              <w:r w:rsidRPr="001831CF">
                <w:rPr>
                  <w:rStyle w:val="IntenseReference"/>
                </w:rPr>
                <w:t xml:space="preserve">/2017]. Available from: </w:t>
              </w:r>
              <w:hyperlink r:id="rId16" w:history="1">
                <w:r w:rsidRPr="001831CF">
                  <w:rPr>
                    <w:rStyle w:val="IntenseReference"/>
                  </w:rPr>
                  <w:t>http://www.itinfo.am/eng/software-development-methodologies/</w:t>
                </w:r>
              </w:hyperlink>
            </w:p>
            <w:p w14:paraId="011BCA71" w14:textId="19E8A6A9" w:rsidR="008D7CD5" w:rsidRPr="000A4C37" w:rsidRDefault="003F48E5" w:rsidP="008D7CD5">
              <w:pPr>
                <w:pStyle w:val="ListParagraph"/>
                <w:numPr>
                  <w:ilvl w:val="0"/>
                  <w:numId w:val="1"/>
                </w:numPr>
                <w:spacing w:after="0" w:line="240" w:lineRule="auto"/>
                <w:rPr>
                  <w:b/>
                  <w:bCs/>
                  <w:smallCaps/>
                  <w:color w:val="4472C4" w:themeColor="accent1"/>
                  <w:spacing w:val="5"/>
                  <w:lang w:val="en-GB"/>
                </w:rPr>
              </w:pPr>
            </w:p>
          </w:sdtContent>
        </w:sdt>
      </w:sdtContent>
    </w:sdt>
    <w:p w14:paraId="2BEAB387" w14:textId="77777777" w:rsidR="00A03AAD" w:rsidRPr="000A4C37" w:rsidRDefault="00A03AAD" w:rsidP="00A03AAD">
      <w:pPr>
        <w:rPr>
          <w:lang w:val="en-GB"/>
        </w:rPr>
      </w:pPr>
    </w:p>
    <w:sectPr w:rsidR="00A03AAD" w:rsidRPr="000A4C37">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7-12-05T20:31:00Z" w:initials="jm">
    <w:p w14:paraId="74BC6633" w14:textId="13E3CBEC" w:rsidR="00265ACB" w:rsidRDefault="00265ACB">
      <w:pPr>
        <w:pStyle w:val="CommentText"/>
      </w:pPr>
      <w:r>
        <w:rPr>
          <w:rStyle w:val="CommentReference"/>
        </w:rPr>
        <w:annotationRef/>
      </w:r>
      <w:r>
        <w:t>Find out (in this case) who the publisher for this report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BC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BC6633" w16cid:durableId="1DD180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24E33" w14:textId="77777777" w:rsidR="003F48E5" w:rsidRDefault="003F48E5" w:rsidP="003B7397">
      <w:pPr>
        <w:spacing w:after="0" w:line="240" w:lineRule="auto"/>
      </w:pPr>
      <w:r>
        <w:separator/>
      </w:r>
    </w:p>
  </w:endnote>
  <w:endnote w:type="continuationSeparator" w:id="0">
    <w:p w14:paraId="7590516F" w14:textId="77777777" w:rsidR="003F48E5" w:rsidRDefault="003F48E5"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0FF047F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9F37AC">
      <w:rPr>
        <w:lang w:val="en-GB"/>
      </w:rPr>
      <w:t>9</w:t>
    </w:r>
    <w:r>
      <w:rPr>
        <w:lang w:val="en-GB"/>
      </w:rPr>
      <w:t>/12/2017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A6CB0" w14:textId="77777777" w:rsidR="003F48E5" w:rsidRDefault="003F48E5" w:rsidP="003B7397">
      <w:pPr>
        <w:spacing w:after="0" w:line="240" w:lineRule="auto"/>
      </w:pPr>
      <w:r>
        <w:separator/>
      </w:r>
    </w:p>
  </w:footnote>
  <w:footnote w:type="continuationSeparator" w:id="0">
    <w:p w14:paraId="1682450A" w14:textId="77777777" w:rsidR="003F48E5" w:rsidRDefault="003F48E5"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
  </w:num>
  <w:num w:numId="5">
    <w:abstractNumId w:val="5"/>
  </w:num>
  <w:num w:numId="6">
    <w:abstractNumId w:val="10"/>
  </w:num>
  <w:num w:numId="7">
    <w:abstractNumId w:val="7"/>
  </w:num>
  <w:num w:numId="8">
    <w:abstractNumId w:val="2"/>
  </w:num>
  <w:num w:numId="9">
    <w:abstractNumId w:val="4"/>
  </w:num>
  <w:num w:numId="10">
    <w:abstractNumId w:val="6"/>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4C37"/>
    <w:rsid w:val="000C2C33"/>
    <w:rsid w:val="000C7B24"/>
    <w:rsid w:val="00143847"/>
    <w:rsid w:val="00176013"/>
    <w:rsid w:val="001831CF"/>
    <w:rsid w:val="001B3A5C"/>
    <w:rsid w:val="00205190"/>
    <w:rsid w:val="00214636"/>
    <w:rsid w:val="00230C0A"/>
    <w:rsid w:val="002619B0"/>
    <w:rsid w:val="00265ACB"/>
    <w:rsid w:val="00267F9D"/>
    <w:rsid w:val="00271C01"/>
    <w:rsid w:val="0029075A"/>
    <w:rsid w:val="002B40D0"/>
    <w:rsid w:val="002D10C1"/>
    <w:rsid w:val="002F39E2"/>
    <w:rsid w:val="00336268"/>
    <w:rsid w:val="00356988"/>
    <w:rsid w:val="00360DD0"/>
    <w:rsid w:val="003A7703"/>
    <w:rsid w:val="003B7397"/>
    <w:rsid w:val="003C1ADE"/>
    <w:rsid w:val="003E4679"/>
    <w:rsid w:val="003F48E5"/>
    <w:rsid w:val="004229E9"/>
    <w:rsid w:val="004372EF"/>
    <w:rsid w:val="00461561"/>
    <w:rsid w:val="004C521B"/>
    <w:rsid w:val="004C7011"/>
    <w:rsid w:val="004F0B7E"/>
    <w:rsid w:val="0059141E"/>
    <w:rsid w:val="005A080C"/>
    <w:rsid w:val="005E29DC"/>
    <w:rsid w:val="00620E38"/>
    <w:rsid w:val="00677471"/>
    <w:rsid w:val="00694957"/>
    <w:rsid w:val="006A76A5"/>
    <w:rsid w:val="006C4D43"/>
    <w:rsid w:val="006D088A"/>
    <w:rsid w:val="006D2496"/>
    <w:rsid w:val="006E214F"/>
    <w:rsid w:val="00721EC4"/>
    <w:rsid w:val="007275A8"/>
    <w:rsid w:val="0079738D"/>
    <w:rsid w:val="007D322B"/>
    <w:rsid w:val="007E04DA"/>
    <w:rsid w:val="00826AAA"/>
    <w:rsid w:val="0085771B"/>
    <w:rsid w:val="00864C20"/>
    <w:rsid w:val="00890010"/>
    <w:rsid w:val="008977DF"/>
    <w:rsid w:val="008D7CD5"/>
    <w:rsid w:val="009126C7"/>
    <w:rsid w:val="00934079"/>
    <w:rsid w:val="009373C4"/>
    <w:rsid w:val="00952501"/>
    <w:rsid w:val="00983D5A"/>
    <w:rsid w:val="009968AA"/>
    <w:rsid w:val="009A479E"/>
    <w:rsid w:val="009F37AC"/>
    <w:rsid w:val="00A03AAD"/>
    <w:rsid w:val="00A45485"/>
    <w:rsid w:val="00A661DE"/>
    <w:rsid w:val="00AA48B1"/>
    <w:rsid w:val="00AC1DC6"/>
    <w:rsid w:val="00AC2BA9"/>
    <w:rsid w:val="00AD18D2"/>
    <w:rsid w:val="00AE05EB"/>
    <w:rsid w:val="00B06C2D"/>
    <w:rsid w:val="00B66C2B"/>
    <w:rsid w:val="00B910C5"/>
    <w:rsid w:val="00BC4626"/>
    <w:rsid w:val="00C0500B"/>
    <w:rsid w:val="00C4577A"/>
    <w:rsid w:val="00C51722"/>
    <w:rsid w:val="00CF39CB"/>
    <w:rsid w:val="00D51EC6"/>
    <w:rsid w:val="00DB1916"/>
    <w:rsid w:val="00DB7DA6"/>
    <w:rsid w:val="00DC635E"/>
    <w:rsid w:val="00E13AAB"/>
    <w:rsid w:val="00E35859"/>
    <w:rsid w:val="00E41E70"/>
    <w:rsid w:val="00E6542C"/>
    <w:rsid w:val="00E763B7"/>
    <w:rsid w:val="00E91222"/>
    <w:rsid w:val="00EE09AD"/>
    <w:rsid w:val="00EF27AF"/>
    <w:rsid w:val="00EF54CE"/>
    <w:rsid w:val="00F42B44"/>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cpress.com/Level-Design-Processes-and-Experiences/Totten/p/book/9781498745055"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openxmlformats.org/officeDocument/2006/relationships/hyperlink" Target="http://www.springer.com/gb/book/9783319427140"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earn.solent.ac.u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D1417-7F47-4273-B71D-86E69F21E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10</cp:revision>
  <dcterms:created xsi:type="dcterms:W3CDTF">2017-12-18T15:27:00Z</dcterms:created>
  <dcterms:modified xsi:type="dcterms:W3CDTF">2018-02-02T11:13:00Z</dcterms:modified>
</cp:coreProperties>
</file>