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D65" w:rsidRPr="00C55310" w:rsidRDefault="00302D65" w:rsidP="00302D65">
      <w:pPr>
        <w:pStyle w:val="Heading1"/>
        <w:tabs>
          <w:tab w:val="left" w:pos="4500"/>
        </w:tabs>
        <w:jc w:val="center"/>
        <w:rPr>
          <w:rFonts w:ascii="Trebuchet MS" w:hAnsi="Trebuchet MS"/>
          <w:sz w:val="28"/>
          <w:szCs w:val="24"/>
        </w:rPr>
      </w:pPr>
      <w:r w:rsidRPr="00C55310">
        <w:rPr>
          <w:rFonts w:ascii="Trebuchet MS" w:hAnsi="Trebuchet MS"/>
          <w:sz w:val="28"/>
          <w:szCs w:val="24"/>
        </w:rPr>
        <w:t>Southampton Solent University</w:t>
      </w:r>
    </w:p>
    <w:p w:rsidR="00302D65" w:rsidRPr="00C55310" w:rsidRDefault="00302D65" w:rsidP="00302D65">
      <w:pPr>
        <w:pStyle w:val="Heading1"/>
        <w:jc w:val="center"/>
        <w:rPr>
          <w:rFonts w:ascii="Trebuchet MS" w:hAnsi="Trebuchet MS"/>
          <w:sz w:val="28"/>
          <w:szCs w:val="24"/>
        </w:rPr>
      </w:pPr>
      <w:r w:rsidRPr="00C55310">
        <w:rPr>
          <w:rFonts w:ascii="Trebuchet MS" w:hAnsi="Trebuchet MS"/>
          <w:sz w:val="28"/>
          <w:szCs w:val="24"/>
        </w:rPr>
        <w:t>Assessment Brief</w:t>
      </w:r>
    </w:p>
    <w:p w:rsidR="00446ECB" w:rsidRDefault="00446ECB" w:rsidP="00302D65">
      <w:pPr>
        <w:pStyle w:val="Heading1"/>
        <w:rPr>
          <w:rFonts w:ascii="Trebuchet MS" w:hAnsi="Trebuchet MS"/>
          <w:sz w:val="28"/>
          <w:szCs w:val="24"/>
        </w:rPr>
      </w:pPr>
    </w:p>
    <w:p w:rsidR="00AD6E62" w:rsidRPr="00AD6E62" w:rsidRDefault="00AD6E62" w:rsidP="00AD6E62">
      <w:pPr>
        <w:rPr>
          <w:lang w:val="en-GB"/>
        </w:rPr>
      </w:pPr>
    </w:p>
    <w:p w:rsidR="00302D65" w:rsidRPr="00C55310" w:rsidRDefault="00302D65" w:rsidP="00302D65">
      <w:pPr>
        <w:pStyle w:val="Heading1"/>
        <w:rPr>
          <w:rFonts w:ascii="Trebuchet MS" w:hAnsi="Trebuchet MS"/>
          <w:sz w:val="28"/>
          <w:szCs w:val="24"/>
        </w:rPr>
      </w:pPr>
      <w:r w:rsidRPr="00C55310">
        <w:rPr>
          <w:rFonts w:ascii="Trebuchet MS" w:hAnsi="Trebuchet MS"/>
          <w:sz w:val="28"/>
          <w:szCs w:val="24"/>
        </w:rPr>
        <w:t>Assessment Details</w:t>
      </w:r>
    </w:p>
    <w:p w:rsidR="00302D65" w:rsidRPr="00302D65" w:rsidRDefault="00302D65" w:rsidP="00302D65">
      <w:pPr>
        <w:rPr>
          <w:rFonts w:ascii="Trebuchet MS" w:hAnsi="Trebuchet MS"/>
          <w:szCs w:val="24"/>
        </w:rPr>
      </w:pP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5103"/>
      </w:tblGrid>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Unit Title:</w:t>
            </w:r>
          </w:p>
        </w:tc>
        <w:tc>
          <w:tcPr>
            <w:tcW w:w="5103" w:type="dxa"/>
            <w:shd w:val="clear" w:color="auto" w:fill="FFFFFF"/>
          </w:tcPr>
          <w:p w:rsidR="00302D65" w:rsidRPr="00C55310" w:rsidRDefault="00302D65" w:rsidP="006C3FE0">
            <w:pPr>
              <w:rPr>
                <w:rFonts w:ascii="Trebuchet MS" w:hAnsi="Trebuchet MS"/>
                <w:sz w:val="22"/>
                <w:szCs w:val="24"/>
              </w:rPr>
            </w:pPr>
            <w:r w:rsidRPr="00C55310">
              <w:rPr>
                <w:rFonts w:ascii="Trebuchet MS" w:hAnsi="Trebuchet MS"/>
                <w:sz w:val="22"/>
                <w:szCs w:val="24"/>
              </w:rPr>
              <w:t>Software Systems Development</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Unit Code:</w:t>
            </w:r>
          </w:p>
        </w:tc>
        <w:tc>
          <w:tcPr>
            <w:tcW w:w="5103" w:type="dxa"/>
            <w:shd w:val="clear" w:color="auto" w:fill="FFFFFF"/>
          </w:tcPr>
          <w:p w:rsidR="00302D65" w:rsidRPr="00C55310" w:rsidRDefault="00ED753C" w:rsidP="00884030">
            <w:pPr>
              <w:rPr>
                <w:rFonts w:ascii="Trebuchet MS" w:hAnsi="Trebuchet MS"/>
                <w:sz w:val="22"/>
                <w:szCs w:val="24"/>
              </w:rPr>
            </w:pPr>
            <w:r>
              <w:rPr>
                <w:rFonts w:ascii="Trebuchet MS" w:hAnsi="Trebuchet MS"/>
                <w:sz w:val="22"/>
                <w:szCs w:val="24"/>
              </w:rPr>
              <w:t>COM600</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Unit Leader:</w:t>
            </w:r>
          </w:p>
        </w:tc>
        <w:tc>
          <w:tcPr>
            <w:tcW w:w="5103" w:type="dxa"/>
            <w:shd w:val="clear" w:color="auto" w:fill="FFFFFF"/>
          </w:tcPr>
          <w:p w:rsidR="00302D65" w:rsidRPr="00C55310" w:rsidRDefault="00BE3F6F" w:rsidP="006C3FE0">
            <w:pPr>
              <w:rPr>
                <w:rFonts w:ascii="Trebuchet MS" w:hAnsi="Trebuchet MS"/>
                <w:sz w:val="22"/>
                <w:szCs w:val="24"/>
              </w:rPr>
            </w:pPr>
            <w:proofErr w:type="spellStart"/>
            <w:r w:rsidRPr="00C55310">
              <w:rPr>
                <w:rFonts w:ascii="Trebuchet MS" w:hAnsi="Trebuchet MS"/>
                <w:sz w:val="22"/>
                <w:szCs w:val="24"/>
              </w:rPr>
              <w:t>Dr</w:t>
            </w:r>
            <w:proofErr w:type="spellEnd"/>
            <w:r w:rsidRPr="00C55310">
              <w:rPr>
                <w:rFonts w:ascii="Trebuchet MS" w:hAnsi="Trebuchet MS"/>
                <w:sz w:val="22"/>
                <w:szCs w:val="24"/>
              </w:rPr>
              <w:t xml:space="preserve"> Brian </w:t>
            </w:r>
            <w:proofErr w:type="spellStart"/>
            <w:r w:rsidRPr="00C55310">
              <w:rPr>
                <w:rFonts w:ascii="Trebuchet MS" w:hAnsi="Trebuchet MS"/>
                <w:sz w:val="22"/>
                <w:szCs w:val="24"/>
              </w:rPr>
              <w:t>Dupée</w:t>
            </w:r>
            <w:proofErr w:type="spellEnd"/>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Level:</w:t>
            </w:r>
          </w:p>
        </w:tc>
        <w:tc>
          <w:tcPr>
            <w:tcW w:w="5103" w:type="dxa"/>
            <w:shd w:val="clear" w:color="auto" w:fill="FFFFFF"/>
          </w:tcPr>
          <w:p w:rsidR="00302D65" w:rsidRPr="00C55310" w:rsidRDefault="00DC0F5E" w:rsidP="00302D65">
            <w:pPr>
              <w:rPr>
                <w:rFonts w:ascii="Trebuchet MS" w:hAnsi="Trebuchet MS"/>
                <w:sz w:val="22"/>
                <w:szCs w:val="24"/>
              </w:rPr>
            </w:pPr>
            <w:r w:rsidRPr="00C55310">
              <w:rPr>
                <w:rFonts w:ascii="Trebuchet MS" w:hAnsi="Trebuchet MS"/>
                <w:sz w:val="22"/>
                <w:szCs w:val="24"/>
              </w:rPr>
              <w:t>FHEQ level 6</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Assessment Title:</w:t>
            </w:r>
          </w:p>
        </w:tc>
        <w:tc>
          <w:tcPr>
            <w:tcW w:w="5103" w:type="dxa"/>
            <w:shd w:val="clear" w:color="auto" w:fill="FFFFFF"/>
          </w:tcPr>
          <w:p w:rsidR="00302D65" w:rsidRPr="00C55310" w:rsidRDefault="002C1B5F" w:rsidP="006C3FE0">
            <w:pPr>
              <w:rPr>
                <w:rFonts w:ascii="Trebuchet MS" w:hAnsi="Trebuchet MS"/>
                <w:sz w:val="22"/>
                <w:szCs w:val="24"/>
              </w:rPr>
            </w:pPr>
            <w:r w:rsidRPr="00C55310">
              <w:rPr>
                <w:rFonts w:ascii="Trebuchet MS" w:hAnsi="Trebuchet MS"/>
                <w:sz w:val="22"/>
                <w:szCs w:val="24"/>
              </w:rPr>
              <w:t>Multimedia</w:t>
            </w:r>
            <w:r w:rsidR="00DC0F5E" w:rsidRPr="00C55310">
              <w:rPr>
                <w:rFonts w:ascii="Trebuchet MS" w:hAnsi="Trebuchet MS"/>
                <w:sz w:val="22"/>
                <w:szCs w:val="24"/>
              </w:rPr>
              <w:t xml:space="preserve"> Presentation</w:t>
            </w:r>
            <w:r w:rsidRPr="00C55310">
              <w:rPr>
                <w:rFonts w:ascii="Trebuchet MS" w:hAnsi="Trebuchet MS"/>
                <w:sz w:val="22"/>
                <w:szCs w:val="24"/>
              </w:rPr>
              <w:t>s</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Assessment Number:</w:t>
            </w:r>
          </w:p>
        </w:tc>
        <w:tc>
          <w:tcPr>
            <w:tcW w:w="5103" w:type="dxa"/>
            <w:shd w:val="clear" w:color="auto" w:fill="FFFFFF"/>
          </w:tcPr>
          <w:p w:rsidR="00302D65" w:rsidRPr="00C55310" w:rsidRDefault="002C1B5F" w:rsidP="006C3FE0">
            <w:pPr>
              <w:rPr>
                <w:rFonts w:ascii="Trebuchet MS" w:hAnsi="Trebuchet MS"/>
                <w:sz w:val="22"/>
                <w:szCs w:val="24"/>
              </w:rPr>
            </w:pPr>
            <w:r w:rsidRPr="00C55310">
              <w:rPr>
                <w:rFonts w:ascii="Trebuchet MS" w:hAnsi="Trebuchet MS"/>
                <w:sz w:val="22"/>
                <w:szCs w:val="24"/>
              </w:rPr>
              <w:t>AE1</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Assessment Type:</w:t>
            </w:r>
          </w:p>
        </w:tc>
        <w:tc>
          <w:tcPr>
            <w:tcW w:w="5103" w:type="dxa"/>
            <w:shd w:val="clear" w:color="auto" w:fill="FFFFFF"/>
          </w:tcPr>
          <w:p w:rsidR="00302D65" w:rsidRPr="00C55310" w:rsidRDefault="00DC0F5E" w:rsidP="005C3541">
            <w:pPr>
              <w:rPr>
                <w:rFonts w:ascii="Trebuchet MS" w:hAnsi="Trebuchet MS"/>
                <w:sz w:val="22"/>
                <w:szCs w:val="24"/>
              </w:rPr>
            </w:pPr>
            <w:r w:rsidRPr="00C55310">
              <w:rPr>
                <w:rFonts w:ascii="Trebuchet MS" w:hAnsi="Trebuchet MS"/>
                <w:sz w:val="22"/>
                <w:szCs w:val="24"/>
              </w:rPr>
              <w:t>Presentation</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Restrictions on Time/Length :</w:t>
            </w:r>
          </w:p>
        </w:tc>
        <w:tc>
          <w:tcPr>
            <w:tcW w:w="5103" w:type="dxa"/>
            <w:shd w:val="clear" w:color="auto" w:fill="FFFFFF"/>
          </w:tcPr>
          <w:p w:rsidR="00302D65" w:rsidRPr="00C55310" w:rsidRDefault="00AB29DF" w:rsidP="006C3FE0">
            <w:pPr>
              <w:rPr>
                <w:rFonts w:ascii="Trebuchet MS" w:hAnsi="Trebuchet MS"/>
                <w:sz w:val="22"/>
                <w:szCs w:val="24"/>
              </w:rPr>
            </w:pPr>
            <w:r w:rsidRPr="00C55310">
              <w:rPr>
                <w:rFonts w:ascii="Trebuchet MS" w:hAnsi="Trebuchet MS"/>
                <w:sz w:val="22"/>
                <w:szCs w:val="24"/>
              </w:rPr>
              <w:t>4</w:t>
            </w:r>
            <w:r w:rsidR="00DC0F5E" w:rsidRPr="00C55310">
              <w:rPr>
                <w:rFonts w:ascii="Trebuchet MS" w:hAnsi="Trebuchet MS"/>
                <w:sz w:val="22"/>
                <w:szCs w:val="24"/>
              </w:rPr>
              <w:t xml:space="preserve"> Minutes</w:t>
            </w:r>
            <w:r w:rsidR="005F3C9A" w:rsidRPr="00C55310">
              <w:rPr>
                <w:rFonts w:ascii="Trebuchet MS" w:hAnsi="Trebuchet MS"/>
                <w:sz w:val="22"/>
                <w:szCs w:val="24"/>
              </w:rPr>
              <w:t xml:space="preserve"> (x4</w:t>
            </w:r>
            <w:r w:rsidR="002C1B5F" w:rsidRPr="00C55310">
              <w:rPr>
                <w:rFonts w:ascii="Trebuchet MS" w:hAnsi="Trebuchet MS"/>
                <w:sz w:val="22"/>
                <w:szCs w:val="24"/>
              </w:rPr>
              <w:t>)</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Individual/Group:</w:t>
            </w:r>
          </w:p>
        </w:tc>
        <w:tc>
          <w:tcPr>
            <w:tcW w:w="5103" w:type="dxa"/>
            <w:shd w:val="clear" w:color="auto" w:fill="FFFFFF"/>
          </w:tcPr>
          <w:p w:rsidR="00302D65" w:rsidRPr="00C55310" w:rsidRDefault="00302D65" w:rsidP="006C3FE0">
            <w:pPr>
              <w:rPr>
                <w:rFonts w:ascii="Trebuchet MS" w:hAnsi="Trebuchet MS"/>
                <w:sz w:val="22"/>
                <w:szCs w:val="24"/>
              </w:rPr>
            </w:pPr>
            <w:r w:rsidRPr="00C55310">
              <w:rPr>
                <w:rFonts w:ascii="Trebuchet MS" w:hAnsi="Trebuchet MS"/>
                <w:sz w:val="22"/>
                <w:szCs w:val="24"/>
              </w:rPr>
              <w:t>Individual</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Assessment Weighting:</w:t>
            </w:r>
          </w:p>
        </w:tc>
        <w:tc>
          <w:tcPr>
            <w:tcW w:w="5103" w:type="dxa"/>
            <w:shd w:val="clear" w:color="auto" w:fill="FFFFFF"/>
          </w:tcPr>
          <w:p w:rsidR="00302D65" w:rsidRPr="00C55310" w:rsidRDefault="005F3C9A" w:rsidP="006C3FE0">
            <w:pPr>
              <w:rPr>
                <w:rFonts w:ascii="Trebuchet MS" w:hAnsi="Trebuchet MS"/>
                <w:sz w:val="22"/>
                <w:szCs w:val="24"/>
              </w:rPr>
            </w:pPr>
            <w:r w:rsidRPr="00C55310">
              <w:rPr>
                <w:rFonts w:ascii="Trebuchet MS" w:hAnsi="Trebuchet MS"/>
                <w:sz w:val="22"/>
                <w:szCs w:val="24"/>
              </w:rPr>
              <w:t>4</w:t>
            </w:r>
            <w:r w:rsidR="00302D65" w:rsidRPr="00C55310">
              <w:rPr>
                <w:rFonts w:ascii="Trebuchet MS" w:hAnsi="Trebuchet MS"/>
                <w:sz w:val="22"/>
                <w:szCs w:val="24"/>
              </w:rPr>
              <w:t>0%</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Issue Date:</w:t>
            </w:r>
          </w:p>
        </w:tc>
        <w:tc>
          <w:tcPr>
            <w:tcW w:w="5103" w:type="dxa"/>
            <w:shd w:val="clear" w:color="auto" w:fill="FFFFFF"/>
          </w:tcPr>
          <w:p w:rsidR="00302D65" w:rsidRPr="00C55310" w:rsidRDefault="002852FC" w:rsidP="00450DB2">
            <w:pPr>
              <w:rPr>
                <w:rFonts w:ascii="Trebuchet MS" w:hAnsi="Trebuchet MS"/>
                <w:sz w:val="22"/>
                <w:szCs w:val="24"/>
              </w:rPr>
            </w:pPr>
            <w:r w:rsidRPr="00C55310">
              <w:rPr>
                <w:rFonts w:ascii="Trebuchet MS" w:hAnsi="Trebuchet MS"/>
                <w:sz w:val="22"/>
                <w:szCs w:val="24"/>
              </w:rPr>
              <w:t>2</w:t>
            </w:r>
            <w:r w:rsidR="008F3969">
              <w:rPr>
                <w:rFonts w:ascii="Trebuchet MS" w:hAnsi="Trebuchet MS"/>
                <w:sz w:val="22"/>
                <w:szCs w:val="24"/>
              </w:rPr>
              <w:t>2</w:t>
            </w:r>
            <w:r w:rsidR="008F3969">
              <w:rPr>
                <w:rFonts w:ascii="Trebuchet MS" w:hAnsi="Trebuchet MS"/>
                <w:sz w:val="22"/>
                <w:szCs w:val="24"/>
                <w:vertAlign w:val="superscript"/>
              </w:rPr>
              <w:t>n</w:t>
            </w:r>
            <w:r w:rsidR="00450DB2" w:rsidRPr="00C55310">
              <w:rPr>
                <w:rFonts w:ascii="Trebuchet MS" w:hAnsi="Trebuchet MS"/>
                <w:sz w:val="22"/>
                <w:szCs w:val="24"/>
                <w:vertAlign w:val="superscript"/>
              </w:rPr>
              <w:t>d</w:t>
            </w:r>
            <w:r w:rsidR="005F3C9A" w:rsidRPr="00C55310">
              <w:rPr>
                <w:rFonts w:ascii="Trebuchet MS" w:hAnsi="Trebuchet MS"/>
                <w:sz w:val="22"/>
                <w:szCs w:val="24"/>
              </w:rPr>
              <w:t xml:space="preserve"> </w:t>
            </w:r>
            <w:r w:rsidR="008F3969">
              <w:rPr>
                <w:rFonts w:ascii="Trebuchet MS" w:hAnsi="Trebuchet MS"/>
                <w:sz w:val="22"/>
                <w:szCs w:val="24"/>
              </w:rPr>
              <w:t>January 2018</w:t>
            </w:r>
          </w:p>
        </w:tc>
      </w:tr>
      <w:tr w:rsidR="00302D65" w:rsidRPr="00302D65" w:rsidTr="00714A45">
        <w:tc>
          <w:tcPr>
            <w:tcW w:w="3685" w:type="dxa"/>
          </w:tcPr>
          <w:p w:rsidR="00302D65" w:rsidRPr="00C55310" w:rsidRDefault="00E00118" w:rsidP="006C3FE0">
            <w:pPr>
              <w:rPr>
                <w:rFonts w:ascii="Trebuchet MS" w:hAnsi="Trebuchet MS"/>
                <w:sz w:val="22"/>
                <w:szCs w:val="24"/>
              </w:rPr>
            </w:pPr>
            <w:r w:rsidRPr="00C55310">
              <w:rPr>
                <w:rFonts w:ascii="Trebuchet MS" w:hAnsi="Trebuchet MS"/>
                <w:sz w:val="22"/>
                <w:szCs w:val="24"/>
              </w:rPr>
              <w:t>Hand in</w:t>
            </w:r>
            <w:r w:rsidR="00302D65" w:rsidRPr="00C55310">
              <w:rPr>
                <w:rFonts w:ascii="Trebuchet MS" w:hAnsi="Trebuchet MS"/>
                <w:sz w:val="22"/>
                <w:szCs w:val="24"/>
              </w:rPr>
              <w:t xml:space="preserve"> Date:</w:t>
            </w:r>
          </w:p>
        </w:tc>
        <w:tc>
          <w:tcPr>
            <w:tcW w:w="5103" w:type="dxa"/>
            <w:shd w:val="clear" w:color="auto" w:fill="FFFFFF"/>
          </w:tcPr>
          <w:p w:rsidR="00302D65" w:rsidRPr="00C55310" w:rsidRDefault="001276FD" w:rsidP="00966F39">
            <w:pPr>
              <w:rPr>
                <w:rFonts w:ascii="Trebuchet MS" w:hAnsi="Trebuchet MS"/>
                <w:sz w:val="22"/>
                <w:szCs w:val="24"/>
              </w:rPr>
            </w:pPr>
            <w:r>
              <w:rPr>
                <w:rFonts w:ascii="Trebuchet MS" w:hAnsi="Trebuchet MS"/>
                <w:sz w:val="22"/>
                <w:szCs w:val="24"/>
              </w:rPr>
              <w:t>13</w:t>
            </w:r>
            <w:bookmarkStart w:id="0" w:name="_GoBack"/>
            <w:bookmarkEnd w:id="0"/>
            <w:r w:rsidR="00966F39">
              <w:rPr>
                <w:rFonts w:ascii="Trebuchet MS" w:hAnsi="Trebuchet MS"/>
                <w:sz w:val="22"/>
                <w:szCs w:val="24"/>
                <w:vertAlign w:val="superscript"/>
              </w:rPr>
              <w:t>th</w:t>
            </w:r>
            <w:r w:rsidR="002C1B5F" w:rsidRPr="00C55310">
              <w:rPr>
                <w:rFonts w:ascii="Trebuchet MS" w:hAnsi="Trebuchet MS"/>
                <w:sz w:val="22"/>
                <w:szCs w:val="24"/>
              </w:rPr>
              <w:t xml:space="preserve"> </w:t>
            </w:r>
            <w:r w:rsidR="00966F39">
              <w:rPr>
                <w:rFonts w:ascii="Trebuchet MS" w:hAnsi="Trebuchet MS"/>
                <w:sz w:val="22"/>
                <w:szCs w:val="24"/>
              </w:rPr>
              <w:t>April</w:t>
            </w:r>
            <w:r w:rsidR="008F3969">
              <w:rPr>
                <w:rFonts w:ascii="Trebuchet MS" w:hAnsi="Trebuchet MS"/>
                <w:sz w:val="22"/>
                <w:szCs w:val="24"/>
              </w:rPr>
              <w:t xml:space="preserve"> 2018</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Planned Feedback Date:</w:t>
            </w:r>
          </w:p>
        </w:tc>
        <w:tc>
          <w:tcPr>
            <w:tcW w:w="5103" w:type="dxa"/>
            <w:shd w:val="clear" w:color="auto" w:fill="FFFFFF"/>
          </w:tcPr>
          <w:p w:rsidR="00302D65" w:rsidRPr="00C55310" w:rsidRDefault="008F3969" w:rsidP="00966F39">
            <w:pPr>
              <w:rPr>
                <w:rFonts w:ascii="Trebuchet MS" w:hAnsi="Trebuchet MS"/>
                <w:sz w:val="22"/>
                <w:szCs w:val="24"/>
              </w:rPr>
            </w:pPr>
            <w:r>
              <w:rPr>
                <w:rFonts w:ascii="Trebuchet MS" w:hAnsi="Trebuchet MS"/>
                <w:sz w:val="22"/>
                <w:szCs w:val="24"/>
              </w:rPr>
              <w:t>4</w:t>
            </w:r>
            <w:r w:rsidR="002C1B5F" w:rsidRPr="00C55310">
              <w:rPr>
                <w:rFonts w:ascii="Trebuchet MS" w:hAnsi="Trebuchet MS"/>
                <w:sz w:val="22"/>
                <w:szCs w:val="24"/>
                <w:vertAlign w:val="superscript"/>
              </w:rPr>
              <w:t>th</w:t>
            </w:r>
            <w:r w:rsidR="002C1B5F" w:rsidRPr="00C55310">
              <w:rPr>
                <w:rFonts w:ascii="Trebuchet MS" w:hAnsi="Trebuchet MS"/>
                <w:sz w:val="22"/>
                <w:szCs w:val="24"/>
              </w:rPr>
              <w:t xml:space="preserve"> </w:t>
            </w:r>
            <w:r w:rsidR="00966F39">
              <w:rPr>
                <w:rFonts w:ascii="Trebuchet MS" w:hAnsi="Trebuchet MS"/>
                <w:sz w:val="22"/>
                <w:szCs w:val="24"/>
              </w:rPr>
              <w:t>May</w:t>
            </w:r>
            <w:r>
              <w:rPr>
                <w:rFonts w:ascii="Trebuchet MS" w:hAnsi="Trebuchet MS"/>
                <w:sz w:val="22"/>
                <w:szCs w:val="24"/>
              </w:rPr>
              <w:t xml:space="preserve"> 2018</w:t>
            </w:r>
          </w:p>
        </w:tc>
      </w:tr>
      <w:tr w:rsidR="00302D65" w:rsidRPr="00302D65" w:rsidTr="00714A45">
        <w:tc>
          <w:tcPr>
            <w:tcW w:w="3685" w:type="dxa"/>
          </w:tcPr>
          <w:p w:rsidR="00302D65" w:rsidRPr="00C55310" w:rsidRDefault="00302D65" w:rsidP="006C3FE0">
            <w:pPr>
              <w:rPr>
                <w:rFonts w:ascii="Trebuchet MS" w:hAnsi="Trebuchet MS"/>
                <w:sz w:val="22"/>
                <w:szCs w:val="24"/>
              </w:rPr>
            </w:pPr>
            <w:r w:rsidRPr="00C55310">
              <w:rPr>
                <w:rFonts w:ascii="Trebuchet MS" w:hAnsi="Trebuchet MS"/>
                <w:sz w:val="22"/>
                <w:szCs w:val="24"/>
              </w:rPr>
              <w:t>Mode of Submission:</w:t>
            </w:r>
          </w:p>
        </w:tc>
        <w:tc>
          <w:tcPr>
            <w:tcW w:w="5103" w:type="dxa"/>
            <w:shd w:val="clear" w:color="auto" w:fill="FFFFFF"/>
          </w:tcPr>
          <w:p w:rsidR="00302D65" w:rsidRPr="00C55310" w:rsidRDefault="008F3969" w:rsidP="006A1106">
            <w:pPr>
              <w:rPr>
                <w:rFonts w:ascii="Trebuchet MS" w:hAnsi="Trebuchet MS"/>
                <w:sz w:val="22"/>
                <w:szCs w:val="24"/>
              </w:rPr>
            </w:pPr>
            <w:r>
              <w:rPr>
                <w:rFonts w:ascii="Trebuchet MS" w:hAnsi="Trebuchet MS"/>
                <w:sz w:val="22"/>
                <w:szCs w:val="24"/>
              </w:rPr>
              <w:t>O</w:t>
            </w:r>
            <w:r w:rsidR="002C1B5F" w:rsidRPr="00C55310">
              <w:rPr>
                <w:rFonts w:ascii="Trebuchet MS" w:hAnsi="Trebuchet MS"/>
                <w:sz w:val="22"/>
                <w:szCs w:val="24"/>
              </w:rPr>
              <w:t>nline</w:t>
            </w:r>
            <w:r w:rsidR="00E32411" w:rsidRPr="00C55310">
              <w:rPr>
                <w:rFonts w:ascii="Trebuchet MS" w:hAnsi="Trebuchet MS"/>
                <w:sz w:val="22"/>
                <w:szCs w:val="24"/>
              </w:rPr>
              <w:t xml:space="preserve"> </w:t>
            </w:r>
          </w:p>
        </w:tc>
      </w:tr>
      <w:tr w:rsidR="00302D65" w:rsidRPr="00302D65" w:rsidTr="00714A45">
        <w:tc>
          <w:tcPr>
            <w:tcW w:w="3685" w:type="dxa"/>
          </w:tcPr>
          <w:p w:rsidR="00302D65" w:rsidRPr="00C55310" w:rsidRDefault="00302D65" w:rsidP="006C3FE0">
            <w:pPr>
              <w:rPr>
                <w:rFonts w:ascii="Trebuchet MS" w:hAnsi="Trebuchet MS"/>
                <w:color w:val="000000"/>
                <w:sz w:val="22"/>
                <w:szCs w:val="24"/>
              </w:rPr>
            </w:pPr>
            <w:r w:rsidRPr="00C55310">
              <w:rPr>
                <w:rFonts w:ascii="Trebuchet MS" w:hAnsi="Trebuchet MS"/>
                <w:color w:val="000000"/>
                <w:sz w:val="22"/>
                <w:szCs w:val="24"/>
              </w:rPr>
              <w:t>Number of copies to be submitted:</w:t>
            </w:r>
          </w:p>
        </w:tc>
        <w:tc>
          <w:tcPr>
            <w:tcW w:w="5103" w:type="dxa"/>
            <w:shd w:val="clear" w:color="auto" w:fill="FFFFFF"/>
          </w:tcPr>
          <w:p w:rsidR="00302D65" w:rsidRPr="00C55310" w:rsidRDefault="00DC0F5E" w:rsidP="006C3FE0">
            <w:pPr>
              <w:rPr>
                <w:rFonts w:ascii="Trebuchet MS" w:hAnsi="Trebuchet MS"/>
                <w:sz w:val="22"/>
                <w:szCs w:val="24"/>
              </w:rPr>
            </w:pPr>
            <w:r w:rsidRPr="00C55310">
              <w:rPr>
                <w:rFonts w:ascii="Trebuchet MS" w:hAnsi="Trebuchet MS"/>
                <w:sz w:val="22"/>
                <w:szCs w:val="24"/>
              </w:rPr>
              <w:t>N/A</w:t>
            </w:r>
          </w:p>
        </w:tc>
      </w:tr>
      <w:tr w:rsidR="00FE0C76" w:rsidRPr="0085795C" w:rsidTr="00714A45">
        <w:trPr>
          <w:trHeight w:val="290"/>
        </w:trPr>
        <w:tc>
          <w:tcPr>
            <w:tcW w:w="3685" w:type="dxa"/>
            <w:tcBorders>
              <w:top w:val="single" w:sz="4" w:space="0" w:color="auto"/>
              <w:left w:val="single" w:sz="4" w:space="0" w:color="auto"/>
              <w:bottom w:val="single" w:sz="4" w:space="0" w:color="auto"/>
              <w:right w:val="single" w:sz="4" w:space="0" w:color="auto"/>
            </w:tcBorders>
          </w:tcPr>
          <w:p w:rsidR="00FE0C76" w:rsidRPr="00C55310" w:rsidRDefault="00FE0C76" w:rsidP="00A94028">
            <w:pPr>
              <w:rPr>
                <w:rFonts w:ascii="Trebuchet MS" w:hAnsi="Trebuchet MS"/>
                <w:color w:val="000000"/>
                <w:sz w:val="22"/>
                <w:szCs w:val="24"/>
              </w:rPr>
            </w:pPr>
            <w:r w:rsidRPr="00C55310">
              <w:rPr>
                <w:rFonts w:ascii="Trebuchet MS" w:hAnsi="Trebuchet MS"/>
                <w:color w:val="000000"/>
                <w:sz w:val="22"/>
                <w:szCs w:val="24"/>
              </w:rPr>
              <w:t xml:space="preserve">Anonymous Marking </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rsidR="00FE0C76" w:rsidRPr="00C55310" w:rsidRDefault="00FE0C76" w:rsidP="005B1FC5">
            <w:pPr>
              <w:rPr>
                <w:rFonts w:ascii="Trebuchet MS" w:hAnsi="Trebuchet MS"/>
                <w:sz w:val="22"/>
                <w:szCs w:val="24"/>
              </w:rPr>
            </w:pPr>
            <w:r w:rsidRPr="00C55310">
              <w:rPr>
                <w:rFonts w:ascii="Trebuchet MS" w:hAnsi="Trebuchet MS"/>
                <w:sz w:val="22"/>
                <w:szCs w:val="24"/>
              </w:rPr>
              <w:t>This assessment i</w:t>
            </w:r>
            <w:r w:rsidR="005B1FC5" w:rsidRPr="00C55310">
              <w:rPr>
                <w:rFonts w:ascii="Trebuchet MS" w:hAnsi="Trebuchet MS"/>
                <w:sz w:val="22"/>
                <w:szCs w:val="24"/>
              </w:rPr>
              <w:t>s exempt from anonymous marking.</w:t>
            </w:r>
          </w:p>
        </w:tc>
      </w:tr>
    </w:tbl>
    <w:p w:rsidR="00302D65" w:rsidRDefault="00302D65" w:rsidP="00302D65">
      <w:pPr>
        <w:pStyle w:val="Heading1"/>
        <w:rPr>
          <w:rFonts w:ascii="Trebuchet MS" w:hAnsi="Trebuchet MS"/>
          <w:sz w:val="24"/>
          <w:szCs w:val="24"/>
        </w:rPr>
      </w:pPr>
    </w:p>
    <w:p w:rsidR="002825A8" w:rsidRPr="002825A8" w:rsidRDefault="002825A8" w:rsidP="002825A8">
      <w:pPr>
        <w:rPr>
          <w:lang w:val="en-GB"/>
        </w:rPr>
      </w:pPr>
    </w:p>
    <w:p w:rsidR="00DC0F5E" w:rsidRPr="00C55310" w:rsidRDefault="00DC0F5E" w:rsidP="00C41551">
      <w:pPr>
        <w:keepNext/>
        <w:tabs>
          <w:tab w:val="left" w:pos="-1440"/>
        </w:tabs>
        <w:ind w:left="720" w:hanging="720"/>
        <w:jc w:val="both"/>
        <w:outlineLvl w:val="0"/>
        <w:rPr>
          <w:rFonts w:ascii="Trebuchet MS" w:hAnsi="Trebuchet MS"/>
          <w:b/>
          <w:sz w:val="28"/>
          <w:szCs w:val="24"/>
          <w:lang w:val="en-GB"/>
        </w:rPr>
      </w:pPr>
      <w:r w:rsidRPr="00C55310">
        <w:rPr>
          <w:rFonts w:ascii="Trebuchet MS" w:hAnsi="Trebuchet MS"/>
          <w:b/>
          <w:sz w:val="28"/>
          <w:szCs w:val="24"/>
          <w:lang w:val="en-GB"/>
        </w:rPr>
        <w:t xml:space="preserve">Assessment Task </w:t>
      </w:r>
    </w:p>
    <w:p w:rsidR="002C1B5F" w:rsidRPr="00C55310" w:rsidRDefault="002C1B5F" w:rsidP="00C41551">
      <w:pPr>
        <w:widowControl/>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 xml:space="preserve">Produce </w:t>
      </w:r>
      <w:r w:rsidR="006F5CD2" w:rsidRPr="00C55310">
        <w:rPr>
          <w:rFonts w:ascii="Trebuchet MS" w:hAnsi="Trebuchet MS"/>
          <w:snapToGrid/>
          <w:sz w:val="22"/>
          <w:szCs w:val="24"/>
          <w:lang w:val="en-GB"/>
        </w:rPr>
        <w:t>four</w:t>
      </w:r>
      <w:r w:rsidRPr="00C55310">
        <w:rPr>
          <w:rFonts w:ascii="Trebuchet MS" w:hAnsi="Trebuchet MS"/>
          <w:snapToGrid/>
          <w:sz w:val="22"/>
          <w:szCs w:val="24"/>
          <w:lang w:val="en-GB"/>
        </w:rPr>
        <w:t xml:space="preserve"> short </w:t>
      </w:r>
      <w:r w:rsidR="00D3598A" w:rsidRPr="00C55310">
        <w:rPr>
          <w:rFonts w:ascii="Trebuchet MS" w:hAnsi="Trebuchet MS"/>
          <w:snapToGrid/>
          <w:sz w:val="22"/>
          <w:szCs w:val="24"/>
          <w:lang w:val="en-GB"/>
        </w:rPr>
        <w:t xml:space="preserve">(4 minutes) </w:t>
      </w:r>
      <w:r w:rsidRPr="00C55310">
        <w:rPr>
          <w:rFonts w:ascii="Trebuchet MS" w:hAnsi="Trebuchet MS"/>
          <w:snapToGrid/>
          <w:sz w:val="22"/>
          <w:szCs w:val="24"/>
          <w:lang w:val="en-GB"/>
        </w:rPr>
        <w:t>multimedia presentation</w:t>
      </w:r>
      <w:r w:rsidR="00AC6DCC" w:rsidRPr="00C55310">
        <w:rPr>
          <w:rFonts w:ascii="Trebuchet MS" w:hAnsi="Trebuchet MS"/>
          <w:snapToGrid/>
          <w:sz w:val="22"/>
          <w:szCs w:val="24"/>
          <w:lang w:val="en-GB"/>
        </w:rPr>
        <w:t>s</w:t>
      </w:r>
      <w:r w:rsidRPr="00C55310">
        <w:rPr>
          <w:rFonts w:ascii="Trebuchet MS" w:hAnsi="Trebuchet MS"/>
          <w:snapToGrid/>
          <w:sz w:val="22"/>
          <w:szCs w:val="24"/>
          <w:lang w:val="en-GB"/>
        </w:rPr>
        <w:t xml:space="preserve"> on your choice of the following topics:</w:t>
      </w:r>
    </w:p>
    <w:p w:rsidR="002C1B5F" w:rsidRPr="00C55310" w:rsidRDefault="002C1B5F"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How Agile Development Methods</w:t>
      </w:r>
      <w:r w:rsidR="008D1BC5" w:rsidRPr="00C55310">
        <w:rPr>
          <w:rFonts w:ascii="Trebuchet MS" w:hAnsi="Trebuchet MS"/>
          <w:snapToGrid/>
          <w:sz w:val="22"/>
          <w:szCs w:val="24"/>
          <w:lang w:val="en-GB"/>
        </w:rPr>
        <w:t xml:space="preserve"> and A</w:t>
      </w:r>
      <w:r w:rsidR="00DD2D69">
        <w:rPr>
          <w:rFonts w:ascii="Trebuchet MS" w:hAnsi="Trebuchet MS"/>
          <w:snapToGrid/>
          <w:sz w:val="22"/>
          <w:szCs w:val="24"/>
          <w:lang w:val="en-GB"/>
        </w:rPr>
        <w:t>rte</w:t>
      </w:r>
      <w:r w:rsidR="00C06AFC" w:rsidRPr="00C55310">
        <w:rPr>
          <w:rFonts w:ascii="Trebuchet MS" w:hAnsi="Trebuchet MS"/>
          <w:snapToGrid/>
          <w:sz w:val="22"/>
          <w:szCs w:val="24"/>
          <w:lang w:val="en-GB"/>
        </w:rPr>
        <w:t>facts</w:t>
      </w:r>
      <w:r w:rsidR="005B1FC5" w:rsidRPr="00C55310">
        <w:rPr>
          <w:rFonts w:ascii="Trebuchet MS" w:hAnsi="Trebuchet MS"/>
          <w:snapToGrid/>
          <w:sz w:val="22"/>
          <w:szCs w:val="24"/>
          <w:lang w:val="en-GB"/>
        </w:rPr>
        <w:t>,</w:t>
      </w:r>
      <w:r w:rsidR="00C06AFC" w:rsidRPr="00C55310">
        <w:rPr>
          <w:rFonts w:ascii="Trebuchet MS" w:hAnsi="Trebuchet MS"/>
          <w:snapToGrid/>
          <w:sz w:val="22"/>
          <w:szCs w:val="24"/>
          <w:lang w:val="en-GB"/>
        </w:rPr>
        <w:t xml:space="preserve"> such as SCRUM meetings, Product Backlog, Burndown Charts etc.</w:t>
      </w:r>
      <w:r w:rsidR="005B1FC5" w:rsidRPr="00C55310">
        <w:rPr>
          <w:rFonts w:ascii="Trebuchet MS" w:hAnsi="Trebuchet MS"/>
          <w:snapToGrid/>
          <w:sz w:val="22"/>
          <w:szCs w:val="24"/>
          <w:lang w:val="en-GB"/>
        </w:rPr>
        <w:t>,</w:t>
      </w:r>
      <w:r w:rsidRPr="00C55310">
        <w:rPr>
          <w:rFonts w:ascii="Trebuchet MS" w:hAnsi="Trebuchet MS"/>
          <w:snapToGrid/>
          <w:sz w:val="22"/>
          <w:szCs w:val="24"/>
          <w:lang w:val="en-GB"/>
        </w:rPr>
        <w:t xml:space="preserve"> are being used to support the management of the software development exercise.</w:t>
      </w:r>
    </w:p>
    <w:p w:rsidR="005B7B04" w:rsidRPr="00C55310" w:rsidRDefault="005B7B04"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How expanded use cases are being used to both identify requirements and to organise the management of the software development exercise.</w:t>
      </w:r>
    </w:p>
    <w:p w:rsidR="002C1B5F" w:rsidRPr="00C55310" w:rsidRDefault="002C1B5F"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 xml:space="preserve">How Robustness Diagrams </w:t>
      </w:r>
      <w:r w:rsidR="005B7B04" w:rsidRPr="00C55310">
        <w:rPr>
          <w:rFonts w:ascii="Trebuchet MS" w:hAnsi="Trebuchet MS"/>
          <w:snapToGrid/>
          <w:sz w:val="22"/>
          <w:szCs w:val="24"/>
          <w:lang w:val="en-GB"/>
        </w:rPr>
        <w:t>and Sequence Diagrams are being used to improve both use cases and the domain model of the software development exercise.</w:t>
      </w:r>
    </w:p>
    <w:p w:rsidR="005B7B04" w:rsidRPr="00C55310" w:rsidRDefault="005B7B04"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How CRC cards are being used to assign responsibilities to classes and thus aid the design and development of the software.</w:t>
      </w:r>
    </w:p>
    <w:p w:rsidR="002C1B5F" w:rsidRPr="00C55310" w:rsidRDefault="002C1B5F"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How the Model View Controller</w:t>
      </w:r>
      <w:r w:rsidR="008F3969">
        <w:rPr>
          <w:rFonts w:ascii="Trebuchet MS" w:hAnsi="Trebuchet MS"/>
          <w:snapToGrid/>
          <w:sz w:val="22"/>
          <w:szCs w:val="24"/>
          <w:lang w:val="en-GB"/>
        </w:rPr>
        <w:t xml:space="preserve"> (or MVVM)</w:t>
      </w:r>
      <w:r w:rsidRPr="00C55310">
        <w:rPr>
          <w:rFonts w:ascii="Trebuchet MS" w:hAnsi="Trebuchet MS"/>
          <w:snapToGrid/>
          <w:sz w:val="22"/>
          <w:szCs w:val="24"/>
          <w:lang w:val="en-GB"/>
        </w:rPr>
        <w:t xml:space="preserve"> pattern is being used to </w:t>
      </w:r>
      <w:r w:rsidR="005B7B04" w:rsidRPr="00C55310">
        <w:rPr>
          <w:rFonts w:ascii="Trebuchet MS" w:hAnsi="Trebuchet MS"/>
          <w:snapToGrid/>
          <w:sz w:val="22"/>
          <w:szCs w:val="24"/>
          <w:lang w:val="en-GB"/>
        </w:rPr>
        <w:t xml:space="preserve">assign responsibilities to classes and thus </w:t>
      </w:r>
      <w:r w:rsidRPr="00C55310">
        <w:rPr>
          <w:rFonts w:ascii="Trebuchet MS" w:hAnsi="Trebuchet MS"/>
          <w:snapToGrid/>
          <w:sz w:val="22"/>
          <w:szCs w:val="24"/>
          <w:lang w:val="en-GB"/>
        </w:rPr>
        <w:t>aid the design and development of the software.</w:t>
      </w:r>
    </w:p>
    <w:p w:rsidR="002C1B5F" w:rsidRPr="00C55310" w:rsidRDefault="002C1B5F"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How GRASP Architectural patterns</w:t>
      </w:r>
      <w:r w:rsidR="00BB02B7" w:rsidRPr="00C55310">
        <w:rPr>
          <w:rFonts w:ascii="Trebuchet MS" w:hAnsi="Trebuchet MS"/>
          <w:snapToGrid/>
          <w:sz w:val="22"/>
          <w:szCs w:val="24"/>
          <w:lang w:val="en-GB"/>
        </w:rPr>
        <w:t xml:space="preserve">, such as Creator, </w:t>
      </w:r>
      <w:r w:rsidR="005F3C9A" w:rsidRPr="00C55310">
        <w:rPr>
          <w:rFonts w:ascii="Trebuchet MS" w:hAnsi="Trebuchet MS"/>
          <w:snapToGrid/>
          <w:sz w:val="22"/>
          <w:szCs w:val="24"/>
          <w:lang w:val="en-GB"/>
        </w:rPr>
        <w:t>Information Expert</w:t>
      </w:r>
      <w:r w:rsidR="00BB02B7" w:rsidRPr="00C55310">
        <w:rPr>
          <w:rFonts w:ascii="Trebuchet MS" w:hAnsi="Trebuchet MS"/>
          <w:snapToGrid/>
          <w:sz w:val="22"/>
          <w:szCs w:val="24"/>
          <w:lang w:val="en-GB"/>
        </w:rPr>
        <w:t xml:space="preserve"> etc.</w:t>
      </w:r>
      <w:r w:rsidR="005B1FC5" w:rsidRPr="00C55310">
        <w:rPr>
          <w:rFonts w:ascii="Trebuchet MS" w:hAnsi="Trebuchet MS"/>
          <w:snapToGrid/>
          <w:sz w:val="22"/>
          <w:szCs w:val="24"/>
          <w:lang w:val="en-GB"/>
        </w:rPr>
        <w:t>,</w:t>
      </w:r>
      <w:r w:rsidRPr="00C55310">
        <w:rPr>
          <w:rFonts w:ascii="Trebuchet MS" w:hAnsi="Trebuchet MS"/>
          <w:snapToGrid/>
          <w:sz w:val="22"/>
          <w:szCs w:val="24"/>
          <w:lang w:val="en-GB"/>
        </w:rPr>
        <w:t xml:space="preserve"> are being used to </w:t>
      </w:r>
      <w:r w:rsidR="005B7B04" w:rsidRPr="00C55310">
        <w:rPr>
          <w:rFonts w:ascii="Trebuchet MS" w:hAnsi="Trebuchet MS"/>
          <w:snapToGrid/>
          <w:sz w:val="22"/>
          <w:szCs w:val="24"/>
          <w:lang w:val="en-GB"/>
        </w:rPr>
        <w:t xml:space="preserve">assign responsibilities to classes and thus </w:t>
      </w:r>
      <w:r w:rsidRPr="00C55310">
        <w:rPr>
          <w:rFonts w:ascii="Trebuchet MS" w:hAnsi="Trebuchet MS"/>
          <w:snapToGrid/>
          <w:sz w:val="22"/>
          <w:szCs w:val="24"/>
          <w:lang w:val="en-GB"/>
        </w:rPr>
        <w:t>aid the design and development of the software.</w:t>
      </w:r>
    </w:p>
    <w:p w:rsidR="005B7B04" w:rsidRPr="00C55310" w:rsidRDefault="005B7B04"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w:t>
      </w:r>
      <w:r w:rsidR="00BB02B7" w:rsidRPr="00C55310">
        <w:rPr>
          <w:rFonts w:ascii="Trebuchet MS" w:hAnsi="Trebuchet MS"/>
          <w:snapToGrid/>
          <w:sz w:val="22"/>
          <w:szCs w:val="24"/>
          <w:lang w:val="en-GB"/>
        </w:rPr>
        <w:t xml:space="preserve">ow </w:t>
      </w:r>
      <w:proofErr w:type="spellStart"/>
      <w:r w:rsidR="00BB02B7" w:rsidRPr="00C55310">
        <w:rPr>
          <w:rFonts w:ascii="Trebuchet MS" w:hAnsi="Trebuchet MS"/>
          <w:snapToGrid/>
          <w:sz w:val="22"/>
          <w:szCs w:val="24"/>
          <w:lang w:val="en-GB"/>
        </w:rPr>
        <w:t>GoF</w:t>
      </w:r>
      <w:proofErr w:type="spellEnd"/>
      <w:r w:rsidR="00BB02B7" w:rsidRPr="00C55310">
        <w:rPr>
          <w:rFonts w:ascii="Trebuchet MS" w:hAnsi="Trebuchet MS"/>
          <w:snapToGrid/>
          <w:sz w:val="22"/>
          <w:szCs w:val="24"/>
          <w:lang w:val="en-GB"/>
        </w:rPr>
        <w:t xml:space="preserve"> design patterns, such as</w:t>
      </w:r>
      <w:r w:rsidRPr="00C55310">
        <w:rPr>
          <w:rFonts w:ascii="Trebuchet MS" w:hAnsi="Trebuchet MS"/>
          <w:snapToGrid/>
          <w:sz w:val="22"/>
          <w:szCs w:val="24"/>
          <w:lang w:val="en-GB"/>
        </w:rPr>
        <w:t xml:space="preserve"> Singleton, </w:t>
      </w:r>
      <w:r w:rsidR="00BB02B7" w:rsidRPr="00C55310">
        <w:rPr>
          <w:rFonts w:ascii="Trebuchet MS" w:hAnsi="Trebuchet MS"/>
          <w:snapToGrid/>
          <w:sz w:val="22"/>
          <w:szCs w:val="24"/>
          <w:lang w:val="en-GB"/>
        </w:rPr>
        <w:t>Facade</w:t>
      </w:r>
      <w:r w:rsidRPr="00C55310">
        <w:rPr>
          <w:rFonts w:ascii="Trebuchet MS" w:hAnsi="Trebuchet MS"/>
          <w:snapToGrid/>
          <w:sz w:val="22"/>
          <w:szCs w:val="24"/>
          <w:lang w:val="en-GB"/>
        </w:rPr>
        <w:t>, Factory</w:t>
      </w:r>
      <w:r w:rsidR="00BB02B7" w:rsidRPr="00C55310">
        <w:rPr>
          <w:rFonts w:ascii="Trebuchet MS" w:hAnsi="Trebuchet MS"/>
          <w:snapToGrid/>
          <w:sz w:val="22"/>
          <w:szCs w:val="24"/>
          <w:lang w:val="en-GB"/>
        </w:rPr>
        <w:t>, Observer</w:t>
      </w:r>
      <w:r w:rsidRPr="00C55310">
        <w:rPr>
          <w:rFonts w:ascii="Trebuchet MS" w:hAnsi="Trebuchet MS"/>
          <w:snapToGrid/>
          <w:sz w:val="22"/>
          <w:szCs w:val="24"/>
          <w:lang w:val="en-GB"/>
        </w:rPr>
        <w:t xml:space="preserve"> etc.</w:t>
      </w:r>
      <w:r w:rsidR="005B1FC5" w:rsidRPr="00C55310">
        <w:rPr>
          <w:rFonts w:ascii="Trebuchet MS" w:hAnsi="Trebuchet MS"/>
          <w:snapToGrid/>
          <w:sz w:val="22"/>
          <w:szCs w:val="24"/>
          <w:lang w:val="en-GB"/>
        </w:rPr>
        <w:t>,</w:t>
      </w:r>
      <w:r w:rsidRPr="00C55310">
        <w:rPr>
          <w:rFonts w:ascii="Trebuchet MS" w:hAnsi="Trebuchet MS"/>
          <w:snapToGrid/>
          <w:sz w:val="22"/>
          <w:szCs w:val="24"/>
          <w:lang w:val="en-GB"/>
        </w:rPr>
        <w:t xml:space="preserve"> are being used to assign responsibilities to classes and thus aid the design and development of the software.</w:t>
      </w:r>
    </w:p>
    <w:p w:rsidR="005B7B04" w:rsidRPr="00C55310" w:rsidRDefault="005B7B04" w:rsidP="002C1B5F">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How autom</w:t>
      </w:r>
      <w:r w:rsidR="005F3C9A" w:rsidRPr="00C55310">
        <w:rPr>
          <w:rFonts w:ascii="Trebuchet MS" w:hAnsi="Trebuchet MS"/>
          <w:snapToGrid/>
          <w:sz w:val="22"/>
          <w:szCs w:val="24"/>
          <w:lang w:val="en-GB"/>
        </w:rPr>
        <w:t>ated test tools such as Junit,</w:t>
      </w:r>
      <w:r w:rsidRPr="00C55310">
        <w:rPr>
          <w:rFonts w:ascii="Trebuchet MS" w:hAnsi="Trebuchet MS"/>
          <w:snapToGrid/>
          <w:sz w:val="22"/>
          <w:szCs w:val="24"/>
          <w:lang w:val="en-GB"/>
        </w:rPr>
        <w:t xml:space="preserve"> NetBeans </w:t>
      </w:r>
      <w:r w:rsidR="005F3C9A" w:rsidRPr="00C55310">
        <w:rPr>
          <w:rFonts w:ascii="Trebuchet MS" w:hAnsi="Trebuchet MS"/>
          <w:snapToGrid/>
          <w:sz w:val="22"/>
          <w:szCs w:val="24"/>
          <w:lang w:val="en-GB"/>
        </w:rPr>
        <w:t xml:space="preserve">or TestExplorer </w:t>
      </w:r>
      <w:r w:rsidRPr="00C55310">
        <w:rPr>
          <w:rFonts w:ascii="Trebuchet MS" w:hAnsi="Trebuchet MS"/>
          <w:snapToGrid/>
          <w:sz w:val="22"/>
          <w:szCs w:val="24"/>
          <w:lang w:val="en-GB"/>
        </w:rPr>
        <w:t>are being used to verify all stages of code production.</w:t>
      </w:r>
    </w:p>
    <w:p w:rsidR="00AD6E62" w:rsidRPr="00916B12" w:rsidRDefault="00BB02B7" w:rsidP="00C41551">
      <w:pPr>
        <w:widowControl/>
        <w:numPr>
          <w:ilvl w:val="0"/>
          <w:numId w:val="10"/>
        </w:numPr>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 xml:space="preserve">How </w:t>
      </w:r>
      <w:r w:rsidR="006F5CD2" w:rsidRPr="00C55310">
        <w:rPr>
          <w:rFonts w:ascii="Trebuchet MS" w:hAnsi="Trebuchet MS"/>
          <w:snapToGrid/>
          <w:sz w:val="22"/>
          <w:szCs w:val="24"/>
          <w:lang w:val="en-GB"/>
        </w:rPr>
        <w:t xml:space="preserve">both </w:t>
      </w:r>
      <w:r w:rsidR="00AC6DCC" w:rsidRPr="00C55310">
        <w:rPr>
          <w:rFonts w:ascii="Trebuchet MS" w:hAnsi="Trebuchet MS"/>
          <w:snapToGrid/>
          <w:sz w:val="22"/>
          <w:szCs w:val="24"/>
          <w:lang w:val="en-GB"/>
        </w:rPr>
        <w:t>Documentation Management and Version Control are being used to support the management of the software development exercise.</w:t>
      </w:r>
    </w:p>
    <w:p w:rsidR="002C1B5F" w:rsidRPr="00C55310" w:rsidRDefault="002E2F4B" w:rsidP="00C41551">
      <w:pPr>
        <w:widowControl/>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t>The assumption is that y</w:t>
      </w:r>
      <w:r w:rsidR="005B1FC5" w:rsidRPr="00C55310">
        <w:rPr>
          <w:rFonts w:ascii="Trebuchet MS" w:hAnsi="Trebuchet MS"/>
          <w:snapToGrid/>
          <w:sz w:val="22"/>
          <w:szCs w:val="24"/>
          <w:lang w:val="en-GB"/>
        </w:rPr>
        <w:t>ou should show how the specific topic is being used within the software development exercise (</w:t>
      </w:r>
      <w:r w:rsidR="008F3969">
        <w:rPr>
          <w:rFonts w:ascii="Trebuchet MS" w:hAnsi="Trebuchet MS"/>
          <w:snapToGrid/>
          <w:sz w:val="22"/>
          <w:szCs w:val="24"/>
          <w:lang w:val="en-GB"/>
        </w:rPr>
        <w:t>Game Café</w:t>
      </w:r>
      <w:r w:rsidR="005B1FC5" w:rsidRPr="00C55310">
        <w:rPr>
          <w:rFonts w:ascii="Trebuchet MS" w:hAnsi="Trebuchet MS"/>
          <w:snapToGrid/>
          <w:sz w:val="22"/>
          <w:szCs w:val="24"/>
          <w:lang w:val="en-GB"/>
        </w:rPr>
        <w:t>) that is part of this unit.</w:t>
      </w:r>
    </w:p>
    <w:p w:rsidR="00DC0F5E" w:rsidRPr="00C55310" w:rsidRDefault="00DC0F5E" w:rsidP="00BB02B7">
      <w:pPr>
        <w:widowControl/>
        <w:spacing w:before="100" w:beforeAutospacing="1" w:after="100" w:afterAutospacing="1"/>
        <w:jc w:val="both"/>
        <w:rPr>
          <w:rFonts w:ascii="Trebuchet MS" w:hAnsi="Trebuchet MS"/>
          <w:snapToGrid/>
          <w:sz w:val="22"/>
          <w:szCs w:val="24"/>
          <w:lang w:val="en-GB"/>
        </w:rPr>
      </w:pPr>
      <w:r w:rsidRPr="00C55310">
        <w:rPr>
          <w:rFonts w:ascii="Trebuchet MS" w:hAnsi="Trebuchet MS"/>
          <w:snapToGrid/>
          <w:sz w:val="22"/>
          <w:szCs w:val="24"/>
          <w:lang w:val="en-GB"/>
        </w:rPr>
        <w:lastRenderedPageBreak/>
        <w:t xml:space="preserve">The </w:t>
      </w:r>
      <w:r w:rsidR="00C06AFC" w:rsidRPr="00C55310">
        <w:rPr>
          <w:rFonts w:ascii="Trebuchet MS" w:hAnsi="Trebuchet MS"/>
          <w:snapToGrid/>
          <w:sz w:val="22"/>
          <w:szCs w:val="24"/>
          <w:lang w:val="en-GB"/>
        </w:rPr>
        <w:t xml:space="preserve">supporting </w:t>
      </w:r>
      <w:r w:rsidRPr="00C55310">
        <w:rPr>
          <w:rFonts w:ascii="Trebuchet MS" w:hAnsi="Trebuchet MS"/>
          <w:snapToGrid/>
          <w:sz w:val="22"/>
          <w:szCs w:val="24"/>
          <w:lang w:val="en-GB"/>
        </w:rPr>
        <w:t xml:space="preserve">seminar programme </w:t>
      </w:r>
      <w:r w:rsidR="00AC6DCC" w:rsidRPr="00C55310">
        <w:rPr>
          <w:rFonts w:ascii="Trebuchet MS" w:hAnsi="Trebuchet MS"/>
          <w:snapToGrid/>
          <w:sz w:val="22"/>
          <w:szCs w:val="24"/>
          <w:lang w:val="en-GB"/>
        </w:rPr>
        <w:t xml:space="preserve">itself </w:t>
      </w:r>
      <w:r w:rsidRPr="00C55310">
        <w:rPr>
          <w:rFonts w:ascii="Trebuchet MS" w:hAnsi="Trebuchet MS"/>
          <w:snapToGrid/>
          <w:sz w:val="22"/>
          <w:szCs w:val="24"/>
          <w:lang w:val="en-GB"/>
        </w:rPr>
        <w:t>div</w:t>
      </w:r>
      <w:r w:rsidR="008F3969">
        <w:rPr>
          <w:rFonts w:ascii="Trebuchet MS" w:hAnsi="Trebuchet MS"/>
          <w:snapToGrid/>
          <w:sz w:val="22"/>
          <w:szCs w:val="24"/>
          <w:lang w:val="en-GB"/>
        </w:rPr>
        <w:t>ides a tutorial cohort into</w:t>
      </w:r>
      <w:r w:rsidRPr="00C55310">
        <w:rPr>
          <w:rFonts w:ascii="Trebuchet MS" w:hAnsi="Trebuchet MS"/>
          <w:snapToGrid/>
          <w:sz w:val="22"/>
          <w:szCs w:val="24"/>
          <w:lang w:val="en-GB"/>
        </w:rPr>
        <w:t xml:space="preserve"> sub-groups.  </w:t>
      </w:r>
      <w:r w:rsidR="00C41551" w:rsidRPr="00C55310">
        <w:rPr>
          <w:rFonts w:ascii="Trebuchet MS" w:hAnsi="Trebuchet MS"/>
          <w:snapToGrid/>
          <w:sz w:val="22"/>
          <w:szCs w:val="24"/>
          <w:lang w:val="en-GB"/>
        </w:rPr>
        <w:t>For each seminar session, one of these</w:t>
      </w:r>
      <w:r w:rsidRPr="00C55310">
        <w:rPr>
          <w:rFonts w:ascii="Trebuchet MS" w:hAnsi="Trebuchet MS"/>
          <w:snapToGrid/>
          <w:sz w:val="22"/>
          <w:szCs w:val="24"/>
          <w:lang w:val="en-GB"/>
        </w:rPr>
        <w:t xml:space="preserve"> groups will collaborate in research, preparation, composing and delivering related topics within a software de</w:t>
      </w:r>
      <w:r w:rsidR="00C41551" w:rsidRPr="00C55310">
        <w:rPr>
          <w:rFonts w:ascii="Trebuchet MS" w:hAnsi="Trebuchet MS"/>
          <w:snapToGrid/>
          <w:sz w:val="22"/>
          <w:szCs w:val="24"/>
          <w:lang w:val="en-GB"/>
        </w:rPr>
        <w:t>velopment context</w:t>
      </w:r>
      <w:r w:rsidR="00AC6DCC" w:rsidRPr="00C55310">
        <w:rPr>
          <w:rFonts w:ascii="Trebuchet MS" w:hAnsi="Trebuchet MS"/>
          <w:snapToGrid/>
          <w:sz w:val="22"/>
          <w:szCs w:val="24"/>
          <w:lang w:val="en-GB"/>
        </w:rPr>
        <w:t xml:space="preserve"> linked to one or more of the topics above</w:t>
      </w:r>
      <w:r w:rsidR="00C41551" w:rsidRPr="00C55310">
        <w:rPr>
          <w:rFonts w:ascii="Trebuchet MS" w:hAnsi="Trebuchet MS"/>
          <w:snapToGrid/>
          <w:sz w:val="22"/>
          <w:szCs w:val="24"/>
          <w:lang w:val="en-GB"/>
        </w:rPr>
        <w:t>; the other</w:t>
      </w:r>
      <w:r w:rsidRPr="00C55310">
        <w:rPr>
          <w:rFonts w:ascii="Trebuchet MS" w:hAnsi="Trebuchet MS"/>
          <w:snapToGrid/>
          <w:sz w:val="22"/>
          <w:szCs w:val="24"/>
          <w:lang w:val="en-GB"/>
        </w:rPr>
        <w:t xml:space="preserve"> groups will listen to the presentations and join in a discussion.  The groups swap roles at each seminar session. </w:t>
      </w:r>
    </w:p>
    <w:p w:rsidR="00DC0F5E" w:rsidRDefault="00DC0F5E" w:rsidP="00C41551">
      <w:pPr>
        <w:keepNext/>
        <w:tabs>
          <w:tab w:val="left" w:pos="-1440"/>
        </w:tabs>
        <w:ind w:left="720" w:hanging="720"/>
        <w:jc w:val="both"/>
        <w:outlineLvl w:val="0"/>
        <w:rPr>
          <w:rFonts w:ascii="Trebuchet MS" w:hAnsi="Trebuchet MS"/>
          <w:b/>
          <w:szCs w:val="24"/>
          <w:lang w:val="en-GB"/>
        </w:rPr>
      </w:pPr>
      <w:r w:rsidRPr="00DC0F5E">
        <w:rPr>
          <w:rFonts w:ascii="Trebuchet MS" w:hAnsi="Trebuchet MS"/>
          <w:b/>
          <w:szCs w:val="24"/>
          <w:lang w:val="en-GB"/>
        </w:rPr>
        <w:t xml:space="preserve">Assessment criteria </w:t>
      </w:r>
    </w:p>
    <w:p w:rsidR="00DC0F5E" w:rsidRPr="00DC0F5E" w:rsidRDefault="00DC0F5E" w:rsidP="00C41551">
      <w:pPr>
        <w:keepNext/>
        <w:tabs>
          <w:tab w:val="left" w:pos="-1440"/>
        </w:tabs>
        <w:ind w:left="720" w:hanging="720"/>
        <w:jc w:val="both"/>
        <w:outlineLvl w:val="0"/>
        <w:rPr>
          <w:rFonts w:ascii="Trebuchet MS" w:hAnsi="Trebuchet MS"/>
          <w:b/>
          <w:szCs w:val="24"/>
          <w:lang w:val="en-GB"/>
        </w:rPr>
      </w:pPr>
    </w:p>
    <w:p w:rsidR="00DC0F5E" w:rsidRDefault="00DC0F5E" w:rsidP="00C41551">
      <w:pPr>
        <w:keepNext/>
        <w:tabs>
          <w:tab w:val="left" w:pos="-1440"/>
        </w:tabs>
        <w:ind w:left="720" w:hanging="720"/>
        <w:jc w:val="both"/>
        <w:outlineLvl w:val="0"/>
        <w:rPr>
          <w:rFonts w:ascii="Trebuchet MS" w:hAnsi="Trebuchet MS"/>
          <w:szCs w:val="24"/>
        </w:rPr>
      </w:pPr>
      <w:r w:rsidRPr="00DC0F5E">
        <w:rPr>
          <w:rFonts w:ascii="Trebuchet MS" w:hAnsi="Trebuchet MS"/>
          <w:szCs w:val="24"/>
        </w:rPr>
        <w:t>See attached grid.</w:t>
      </w:r>
    </w:p>
    <w:p w:rsidR="00DC0F5E" w:rsidRPr="00DC0F5E" w:rsidRDefault="00DC0F5E" w:rsidP="00C41551">
      <w:pPr>
        <w:keepNext/>
        <w:tabs>
          <w:tab w:val="left" w:pos="-1440"/>
        </w:tabs>
        <w:ind w:left="720" w:hanging="720"/>
        <w:jc w:val="both"/>
        <w:outlineLvl w:val="0"/>
        <w:rPr>
          <w:rFonts w:ascii="Trebuchet MS" w:hAnsi="Trebuchet MS"/>
          <w:szCs w:val="24"/>
        </w:rPr>
      </w:pPr>
    </w:p>
    <w:p w:rsidR="00DC0F5E" w:rsidRPr="00DC0F5E" w:rsidRDefault="00DC0F5E" w:rsidP="00C41551">
      <w:pPr>
        <w:keepNext/>
        <w:tabs>
          <w:tab w:val="left" w:pos="-1440"/>
        </w:tabs>
        <w:ind w:left="720" w:hanging="720"/>
        <w:jc w:val="both"/>
        <w:outlineLvl w:val="0"/>
        <w:rPr>
          <w:rFonts w:ascii="Trebuchet MS" w:hAnsi="Trebuchet MS"/>
          <w:b/>
          <w:szCs w:val="24"/>
          <w:lang w:val="en-GB"/>
        </w:rPr>
      </w:pPr>
      <w:r w:rsidRPr="00DC0F5E">
        <w:rPr>
          <w:rFonts w:ascii="Trebuchet MS" w:hAnsi="Trebuchet MS"/>
          <w:b/>
          <w:szCs w:val="24"/>
          <w:lang w:val="en-GB"/>
        </w:rPr>
        <w:t>Learning Outcomes</w:t>
      </w:r>
    </w:p>
    <w:p w:rsidR="00DC0F5E" w:rsidRPr="00DC0F5E" w:rsidRDefault="00DC0F5E" w:rsidP="00C41551">
      <w:pPr>
        <w:tabs>
          <w:tab w:val="left" w:pos="-1440"/>
        </w:tabs>
        <w:jc w:val="both"/>
        <w:rPr>
          <w:rFonts w:ascii="Trebuchet MS" w:hAnsi="Trebuchet MS"/>
          <w:szCs w:val="24"/>
          <w:lang w:val="en-GB"/>
        </w:rPr>
      </w:pPr>
    </w:p>
    <w:p w:rsidR="00DC0F5E" w:rsidRPr="00714A45" w:rsidRDefault="00DC0F5E" w:rsidP="00714A45">
      <w:pPr>
        <w:pStyle w:val="BodyText"/>
        <w:rPr>
          <w:rFonts w:ascii="Trebuchet MS" w:hAnsi="Trebuchet MS"/>
          <w:szCs w:val="22"/>
        </w:rPr>
      </w:pPr>
      <w:r w:rsidRPr="00C55310">
        <w:rPr>
          <w:rFonts w:ascii="Trebuchet MS" w:hAnsi="Trebuchet MS"/>
          <w:szCs w:val="24"/>
        </w:rPr>
        <w:t>This assessment will enable students to demonstrate in full or in part the learning outcomes identified in the unit descriptors.</w:t>
      </w:r>
      <w:r w:rsidR="00714A45">
        <w:rPr>
          <w:rFonts w:ascii="Trebuchet MS" w:hAnsi="Trebuchet MS"/>
          <w:szCs w:val="24"/>
        </w:rPr>
        <w:t xml:space="preserve">  </w:t>
      </w:r>
      <w:r w:rsidR="00714A45">
        <w:rPr>
          <w:rFonts w:ascii="Trebuchet MS" w:hAnsi="Trebuchet MS"/>
          <w:szCs w:val="22"/>
        </w:rPr>
        <w:t>The specific learning outcomes addressed by this assessment are as below.</w:t>
      </w:r>
    </w:p>
    <w:p w:rsidR="00916B12" w:rsidRDefault="00916B12" w:rsidP="00916B12">
      <w:pPr>
        <w:widowControl/>
        <w:jc w:val="both"/>
        <w:rPr>
          <w:rFonts w:ascii="Trebuchet MS" w:hAnsi="Trebuchet MS"/>
          <w:b/>
          <w:snapToGrid/>
          <w:color w:val="000000"/>
          <w:sz w:val="22"/>
          <w:szCs w:val="22"/>
          <w:lang w:val="en-GB"/>
        </w:rPr>
      </w:pPr>
    </w:p>
    <w:p w:rsidR="00916B12" w:rsidRPr="00916B12" w:rsidRDefault="00916B12" w:rsidP="00916B12">
      <w:pPr>
        <w:widowControl/>
        <w:jc w:val="both"/>
        <w:rPr>
          <w:rFonts w:ascii="Trebuchet MS" w:hAnsi="Trebuchet MS"/>
          <w:snapToGrid/>
          <w:color w:val="000000"/>
          <w:sz w:val="22"/>
          <w:szCs w:val="22"/>
          <w:lang w:val="en-GB"/>
        </w:rPr>
      </w:pPr>
      <w:r w:rsidRPr="00916B12">
        <w:rPr>
          <w:rFonts w:ascii="Trebuchet MS" w:hAnsi="Trebuchet MS"/>
          <w:b/>
          <w:snapToGrid/>
          <w:color w:val="000000"/>
          <w:sz w:val="22"/>
          <w:szCs w:val="22"/>
          <w:lang w:val="en-GB"/>
        </w:rPr>
        <w:t>Knowledge and Understanding</w:t>
      </w:r>
    </w:p>
    <w:p w:rsidR="00916B12" w:rsidRPr="00916B12" w:rsidRDefault="00916B12" w:rsidP="00916B12">
      <w:pPr>
        <w:widowControl/>
        <w:ind w:left="720" w:hanging="720"/>
        <w:jc w:val="both"/>
        <w:rPr>
          <w:rFonts w:ascii="Trebuchet MS" w:hAnsi="Trebuchet MS"/>
          <w:snapToGrid/>
          <w:color w:val="000000"/>
          <w:sz w:val="22"/>
          <w:szCs w:val="22"/>
          <w:lang w:val="en-GB"/>
        </w:rPr>
      </w:pPr>
      <w:r w:rsidRPr="00916B12">
        <w:rPr>
          <w:rFonts w:ascii="Trebuchet MS" w:hAnsi="Trebuchet MS"/>
          <w:snapToGrid/>
          <w:color w:val="000000"/>
          <w:sz w:val="22"/>
          <w:szCs w:val="22"/>
          <w:lang w:val="en-GB"/>
        </w:rPr>
        <w:t>K1</w:t>
      </w:r>
      <w:r w:rsidRPr="00916B12">
        <w:rPr>
          <w:rFonts w:ascii="Trebuchet MS" w:hAnsi="Trebuchet MS"/>
          <w:snapToGrid/>
          <w:color w:val="000000"/>
          <w:sz w:val="22"/>
          <w:szCs w:val="22"/>
          <w:lang w:val="en-GB"/>
        </w:rPr>
        <w:tab/>
        <w:t xml:space="preserve">Explain and discuss industry-recognised architectural patterns, design patterns, code idioms and other heuristics relevant to the development of larger-scale software systems. </w:t>
      </w:r>
    </w:p>
    <w:p w:rsidR="00916B12" w:rsidRDefault="00916B12" w:rsidP="00916B12">
      <w:pPr>
        <w:widowControl/>
        <w:jc w:val="both"/>
        <w:rPr>
          <w:rFonts w:ascii="Trebuchet MS" w:hAnsi="Trebuchet MS"/>
          <w:b/>
          <w:snapToGrid/>
          <w:color w:val="000000"/>
          <w:sz w:val="22"/>
          <w:szCs w:val="22"/>
          <w:lang w:val="en-GB"/>
        </w:rPr>
      </w:pPr>
    </w:p>
    <w:p w:rsidR="00916B12" w:rsidRPr="00916B12" w:rsidRDefault="00916B12" w:rsidP="00916B12">
      <w:pPr>
        <w:widowControl/>
        <w:jc w:val="both"/>
        <w:rPr>
          <w:rFonts w:ascii="Trebuchet MS" w:hAnsi="Trebuchet MS"/>
          <w:b/>
          <w:snapToGrid/>
          <w:color w:val="000000"/>
          <w:sz w:val="22"/>
          <w:szCs w:val="22"/>
          <w:lang w:val="en-GB"/>
        </w:rPr>
      </w:pPr>
      <w:r w:rsidRPr="00916B12">
        <w:rPr>
          <w:rFonts w:ascii="Trebuchet MS" w:hAnsi="Trebuchet MS"/>
          <w:b/>
          <w:snapToGrid/>
          <w:color w:val="000000"/>
          <w:sz w:val="22"/>
          <w:szCs w:val="22"/>
          <w:lang w:val="en-GB"/>
        </w:rPr>
        <w:t xml:space="preserve">Transferable and Key Skills </w:t>
      </w:r>
    </w:p>
    <w:p w:rsidR="00916B12" w:rsidRPr="00916B12" w:rsidRDefault="00916B12" w:rsidP="00916B12">
      <w:pPr>
        <w:widowControl/>
        <w:jc w:val="both"/>
        <w:rPr>
          <w:rFonts w:ascii="Trebuchet MS" w:hAnsi="Trebuchet MS"/>
          <w:snapToGrid/>
          <w:color w:val="000000"/>
          <w:sz w:val="22"/>
          <w:szCs w:val="22"/>
          <w:lang w:val="en-GB"/>
        </w:rPr>
      </w:pPr>
      <w:r w:rsidRPr="00916B12">
        <w:rPr>
          <w:rFonts w:ascii="Trebuchet MS" w:hAnsi="Trebuchet MS"/>
          <w:snapToGrid/>
          <w:color w:val="000000"/>
          <w:sz w:val="22"/>
          <w:szCs w:val="22"/>
          <w:lang w:val="en-GB"/>
        </w:rPr>
        <w:t>T1</w:t>
      </w:r>
      <w:r w:rsidRPr="00916B12">
        <w:rPr>
          <w:rFonts w:ascii="Trebuchet MS" w:hAnsi="Trebuchet MS"/>
          <w:snapToGrid/>
          <w:color w:val="000000"/>
          <w:sz w:val="22"/>
          <w:szCs w:val="22"/>
          <w:lang w:val="en-GB"/>
        </w:rPr>
        <w:tab/>
        <w:t xml:space="preserve">Research a given topic and discuss the outcomes. </w:t>
      </w:r>
    </w:p>
    <w:p w:rsidR="00714A45" w:rsidRPr="00714A45" w:rsidRDefault="00916B12" w:rsidP="00714A45">
      <w:pPr>
        <w:widowControl/>
        <w:jc w:val="both"/>
        <w:rPr>
          <w:rFonts w:ascii="Trebuchet MS" w:hAnsi="Trebuchet MS"/>
          <w:snapToGrid/>
          <w:color w:val="000000"/>
          <w:sz w:val="22"/>
          <w:szCs w:val="22"/>
          <w:lang w:val="en-GB"/>
        </w:rPr>
      </w:pPr>
      <w:r w:rsidRPr="00916B12">
        <w:rPr>
          <w:rFonts w:ascii="Trebuchet MS" w:hAnsi="Trebuchet MS"/>
          <w:snapToGrid/>
          <w:color w:val="000000"/>
          <w:sz w:val="22"/>
          <w:szCs w:val="22"/>
          <w:lang w:val="en-GB"/>
        </w:rPr>
        <w:t>T2</w:t>
      </w:r>
      <w:r w:rsidRPr="00916B12">
        <w:rPr>
          <w:rFonts w:ascii="Trebuchet MS" w:hAnsi="Trebuchet MS"/>
          <w:snapToGrid/>
          <w:color w:val="000000"/>
          <w:sz w:val="22"/>
          <w:szCs w:val="22"/>
          <w:lang w:val="en-GB"/>
        </w:rPr>
        <w:tab/>
        <w:t>Create a multimedia presentation.</w:t>
      </w:r>
    </w:p>
    <w:p w:rsidR="00966F39" w:rsidRPr="00714A45" w:rsidRDefault="00966F39" w:rsidP="00714A45">
      <w:pPr>
        <w:keepNext/>
        <w:widowControl/>
        <w:spacing w:before="240" w:after="60"/>
        <w:jc w:val="both"/>
        <w:outlineLvl w:val="0"/>
        <w:rPr>
          <w:rFonts w:ascii="Trebuchet MS" w:eastAsia="Trebuchet MS" w:hAnsi="Trebuchet MS" w:cs="Trebuchet MS"/>
          <w:b/>
          <w:bCs/>
          <w:snapToGrid/>
          <w:kern w:val="32"/>
          <w:sz w:val="22"/>
          <w:szCs w:val="22"/>
          <w:lang w:val="en-GB"/>
        </w:rPr>
      </w:pPr>
      <w:r w:rsidRPr="00966F39">
        <w:rPr>
          <w:rFonts w:ascii="Trebuchet MS" w:eastAsia="Trebuchet MS" w:hAnsi="Trebuchet MS" w:cs="Trebuchet MS"/>
          <w:b/>
          <w:bCs/>
          <w:snapToGrid/>
          <w:kern w:val="32"/>
          <w:sz w:val="22"/>
          <w:szCs w:val="22"/>
          <w:lang w:val="en-GB"/>
        </w:rPr>
        <w:t>Late Submissions</w:t>
      </w:r>
    </w:p>
    <w:p w:rsidR="00966F39" w:rsidRPr="00966F39" w:rsidRDefault="00966F39" w:rsidP="00966F39">
      <w:pPr>
        <w:widowControl/>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Students are reminded that:</w:t>
      </w:r>
    </w:p>
    <w:p w:rsidR="00966F39" w:rsidRPr="00966F39" w:rsidRDefault="00966F39" w:rsidP="00966F39">
      <w:pPr>
        <w:widowControl/>
        <w:jc w:val="both"/>
        <w:rPr>
          <w:rFonts w:ascii="Trebuchet MS" w:eastAsia="Trebuchet MS" w:hAnsi="Trebuchet MS" w:cs="Trebuchet MS"/>
          <w:snapToGrid/>
          <w:sz w:val="22"/>
          <w:szCs w:val="22"/>
          <w:lang w:val="en-GB"/>
        </w:rPr>
      </w:pPr>
    </w:p>
    <w:p w:rsidR="00966F39" w:rsidRPr="00966F39" w:rsidRDefault="00966F39" w:rsidP="00966F39">
      <w:pPr>
        <w:widowControl/>
        <w:numPr>
          <w:ilvl w:val="0"/>
          <w:numId w:val="11"/>
        </w:numPr>
        <w:ind w:left="567" w:hanging="567"/>
        <w:contextualSpacing/>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If this assessment is submitted late i.e. within 5 working days of the submission deadline, the mark will be capped at 40% if a pass mark is achieved;</w:t>
      </w:r>
    </w:p>
    <w:p w:rsidR="00966F39" w:rsidRPr="00966F39" w:rsidRDefault="00966F39" w:rsidP="00966F39">
      <w:pPr>
        <w:widowControl/>
        <w:numPr>
          <w:ilvl w:val="0"/>
          <w:numId w:val="11"/>
        </w:numPr>
        <w:ind w:left="567" w:hanging="567"/>
        <w:contextualSpacing/>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 xml:space="preserve">If this assessment is submitted </w:t>
      </w:r>
      <w:r w:rsidRPr="00966F39">
        <w:rPr>
          <w:rFonts w:ascii="Trebuchet MS" w:eastAsia="Trebuchet MS" w:hAnsi="Trebuchet MS" w:cs="Trebuchet MS"/>
          <w:snapToGrid/>
          <w:sz w:val="22"/>
          <w:szCs w:val="22"/>
          <w:u w:val="single"/>
          <w:lang w:val="en-GB"/>
        </w:rPr>
        <w:t>later</w:t>
      </w:r>
      <w:r w:rsidRPr="00966F39">
        <w:rPr>
          <w:rFonts w:ascii="Trebuchet MS" w:eastAsia="Trebuchet MS" w:hAnsi="Trebuchet MS" w:cs="Trebuchet MS"/>
          <w:snapToGrid/>
          <w:sz w:val="22"/>
          <w:szCs w:val="22"/>
          <w:lang w:val="en-GB"/>
        </w:rPr>
        <w:t xml:space="preserve"> than 5 working days after the submission deadline, the work will be regarded as a non-submission and will be awarded a zero;</w:t>
      </w:r>
    </w:p>
    <w:p w:rsidR="00966F39" w:rsidRPr="00966F39" w:rsidRDefault="00966F39" w:rsidP="00966F39">
      <w:pPr>
        <w:widowControl/>
        <w:numPr>
          <w:ilvl w:val="0"/>
          <w:numId w:val="11"/>
        </w:numPr>
        <w:ind w:left="567" w:hanging="567"/>
        <w:contextualSpacing/>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 xml:space="preserve">If this assessment is being submitted as a referred piece of work (second or third attempt) then it </w:t>
      </w:r>
      <w:r w:rsidRPr="00966F39">
        <w:rPr>
          <w:rFonts w:ascii="Trebuchet MS" w:eastAsia="Trebuchet MS" w:hAnsi="Trebuchet MS" w:cs="Trebuchet MS"/>
          <w:snapToGrid/>
          <w:sz w:val="22"/>
          <w:szCs w:val="22"/>
          <w:u w:val="single"/>
          <w:lang w:val="en-GB"/>
        </w:rPr>
        <w:t>must</w:t>
      </w:r>
      <w:r w:rsidRPr="00966F39">
        <w:rPr>
          <w:rFonts w:ascii="Trebuchet MS" w:eastAsia="Trebuchet MS" w:hAnsi="Trebuchet MS" w:cs="Trebuchet MS"/>
          <w:snapToGrid/>
          <w:sz w:val="22"/>
          <w:szCs w:val="22"/>
          <w:lang w:val="en-GB"/>
        </w:rPr>
        <w:t xml:space="preserve"> be submitted by the deadline date; </w:t>
      </w:r>
      <w:r w:rsidRPr="00966F39">
        <w:rPr>
          <w:rFonts w:ascii="Trebuchet MS" w:eastAsia="Trebuchet MS" w:hAnsi="Trebuchet MS" w:cs="Trebuchet MS"/>
          <w:snapToGrid/>
          <w:sz w:val="22"/>
          <w:szCs w:val="22"/>
          <w:u w:val="single"/>
          <w:lang w:val="en-GB"/>
        </w:rPr>
        <w:t>any</w:t>
      </w:r>
      <w:r w:rsidRPr="00966F39">
        <w:rPr>
          <w:rFonts w:ascii="Trebuchet MS" w:eastAsia="Trebuchet MS" w:hAnsi="Trebuchet MS" w:cs="Trebuchet MS"/>
          <w:snapToGrid/>
          <w:sz w:val="22"/>
          <w:szCs w:val="22"/>
          <w:lang w:val="en-GB"/>
        </w:rPr>
        <w:t xml:space="preserve"> Refer assessment submitted late will be regarded as a non-submission and will be awarded a zero.</w:t>
      </w:r>
    </w:p>
    <w:p w:rsidR="00966F39" w:rsidRPr="00966F39" w:rsidRDefault="00966F39" w:rsidP="00966F39">
      <w:pPr>
        <w:widowControl/>
        <w:ind w:left="567"/>
        <w:contextualSpacing/>
        <w:jc w:val="both"/>
        <w:rPr>
          <w:rFonts w:ascii="Trebuchet MS" w:eastAsia="Trebuchet MS" w:hAnsi="Trebuchet MS" w:cs="Trebuchet MS"/>
          <w:snapToGrid/>
          <w:sz w:val="22"/>
          <w:szCs w:val="22"/>
          <w:lang w:val="en-GB"/>
        </w:rPr>
      </w:pPr>
    </w:p>
    <w:p w:rsidR="00966F39" w:rsidRPr="00966F39" w:rsidRDefault="00E47A96" w:rsidP="00966F39">
      <w:pPr>
        <w:widowControl/>
        <w:jc w:val="both"/>
        <w:rPr>
          <w:rFonts w:ascii="Trebuchet MS" w:eastAsia="Trebuchet MS" w:hAnsi="Trebuchet MS" w:cs="Trebuchet MS"/>
          <w:snapToGrid/>
          <w:sz w:val="22"/>
          <w:szCs w:val="22"/>
          <w:lang w:val="en-GB"/>
        </w:rPr>
      </w:pPr>
      <w:hyperlink r:id="rId8" w:history="1">
        <w:r w:rsidR="00966F39" w:rsidRPr="00966F39">
          <w:rPr>
            <w:rFonts w:ascii="Trebuchet MS" w:eastAsia="Trebuchet MS" w:hAnsi="Trebuchet MS" w:cs="Trebuchet MS"/>
            <w:snapToGrid/>
            <w:color w:val="0000FF"/>
            <w:sz w:val="22"/>
            <w:szCs w:val="22"/>
            <w:u w:val="single"/>
            <w:lang w:val="en-GB"/>
          </w:rPr>
          <w:t>http://portal.solent.ac.uk/documents/academic-services/academic-handbook/section-2/2o-assessment-policy-annex-1-assessment-regulations.pdf?t=1411116004479</w:t>
        </w:r>
      </w:hyperlink>
    </w:p>
    <w:p w:rsidR="00966F39" w:rsidRPr="00966F39" w:rsidRDefault="00966F39" w:rsidP="00966F39">
      <w:pPr>
        <w:widowControl/>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 xml:space="preserve"> </w:t>
      </w:r>
    </w:p>
    <w:p w:rsidR="00966F39" w:rsidRPr="00966F39" w:rsidRDefault="00966F39" w:rsidP="00966F39">
      <w:pPr>
        <w:keepNext/>
        <w:widowControl/>
        <w:spacing w:before="240" w:after="60"/>
        <w:jc w:val="both"/>
        <w:outlineLvl w:val="0"/>
        <w:rPr>
          <w:rFonts w:ascii="Trebuchet MS" w:eastAsia="Trebuchet MS" w:hAnsi="Trebuchet MS" w:cs="Trebuchet MS"/>
          <w:b/>
          <w:bCs/>
          <w:snapToGrid/>
          <w:kern w:val="32"/>
          <w:sz w:val="22"/>
          <w:szCs w:val="22"/>
          <w:lang w:val="en-GB"/>
        </w:rPr>
      </w:pPr>
      <w:r w:rsidRPr="00966F39">
        <w:rPr>
          <w:rFonts w:ascii="Trebuchet MS" w:eastAsia="Trebuchet MS" w:hAnsi="Trebuchet MS" w:cs="Trebuchet MS"/>
          <w:b/>
          <w:bCs/>
          <w:snapToGrid/>
          <w:kern w:val="32"/>
          <w:sz w:val="22"/>
          <w:szCs w:val="22"/>
          <w:lang w:val="en-GB"/>
        </w:rPr>
        <w:t>Extenuating Circumstances</w:t>
      </w:r>
    </w:p>
    <w:p w:rsidR="00966F39" w:rsidRPr="00966F39" w:rsidRDefault="00966F39" w:rsidP="00966F39">
      <w:pPr>
        <w:widowControl/>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966F39" w:rsidRPr="00966F39" w:rsidRDefault="00966F39" w:rsidP="00966F39">
      <w:pPr>
        <w:widowControl/>
        <w:jc w:val="both"/>
        <w:rPr>
          <w:snapToGrid/>
          <w:sz w:val="22"/>
          <w:szCs w:val="22"/>
          <w:lang w:val="en-GB"/>
        </w:rPr>
      </w:pPr>
    </w:p>
    <w:p w:rsidR="00966F39" w:rsidRPr="00966F39" w:rsidRDefault="00966F39" w:rsidP="00966F39">
      <w:pPr>
        <w:widowControl/>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A summary of guidance notes for students is given below:</w:t>
      </w:r>
    </w:p>
    <w:p w:rsidR="00966F39" w:rsidRPr="00966F39" w:rsidRDefault="00966F39" w:rsidP="00966F39">
      <w:pPr>
        <w:widowControl/>
        <w:jc w:val="both"/>
        <w:rPr>
          <w:rFonts w:ascii="Trebuchet MS" w:eastAsia="Trebuchet MS" w:hAnsi="Trebuchet MS" w:cs="Trebuchet MS"/>
          <w:snapToGrid/>
          <w:sz w:val="22"/>
          <w:szCs w:val="22"/>
          <w:lang w:val="en-GB"/>
        </w:rPr>
      </w:pPr>
    </w:p>
    <w:p w:rsidR="00966F39" w:rsidRPr="00966F39" w:rsidRDefault="00E47A96" w:rsidP="00966F39">
      <w:pPr>
        <w:widowControl/>
        <w:jc w:val="both"/>
        <w:rPr>
          <w:rFonts w:ascii="Trebuchet MS" w:eastAsia="Trebuchet MS" w:hAnsi="Trebuchet MS" w:cs="Trebuchet MS"/>
          <w:snapToGrid/>
          <w:sz w:val="22"/>
          <w:szCs w:val="22"/>
          <w:lang w:val="en-GB"/>
        </w:rPr>
      </w:pPr>
      <w:hyperlink r:id="rId9" w:history="1">
        <w:r w:rsidR="00966F39" w:rsidRPr="00966F39">
          <w:rPr>
            <w:rFonts w:ascii="Trebuchet MS" w:eastAsia="Trebuchet MS" w:hAnsi="Trebuchet MS" w:cs="Trebuchet MS"/>
            <w:snapToGrid/>
            <w:color w:val="0000FF"/>
            <w:sz w:val="22"/>
            <w:szCs w:val="22"/>
            <w:u w:val="single"/>
            <w:lang w:val="en-GB"/>
          </w:rPr>
          <w:t>http://portal.solent.ac.uk/documents/academic-services/academic-handbook/section-4/4p-extenuating-circumstances-procedures-for-students.pdf?t=1472716668952</w:t>
        </w:r>
      </w:hyperlink>
      <w:r w:rsidR="00966F39" w:rsidRPr="00966F39">
        <w:rPr>
          <w:rFonts w:ascii="Trebuchet MS" w:eastAsia="Trebuchet MS" w:hAnsi="Trebuchet MS" w:cs="Trebuchet MS"/>
          <w:snapToGrid/>
          <w:sz w:val="22"/>
          <w:szCs w:val="22"/>
          <w:lang w:val="en-GB"/>
        </w:rPr>
        <w:t xml:space="preserve"> </w:t>
      </w:r>
    </w:p>
    <w:p w:rsidR="00966F39" w:rsidRPr="00966F39" w:rsidRDefault="00966F39" w:rsidP="00966F39">
      <w:pPr>
        <w:widowControl/>
        <w:jc w:val="both"/>
        <w:rPr>
          <w:snapToGrid/>
          <w:color w:val="1F497D"/>
          <w:sz w:val="22"/>
          <w:szCs w:val="22"/>
          <w:lang w:val="en-GB"/>
        </w:rPr>
      </w:pPr>
    </w:p>
    <w:p w:rsidR="00966F39" w:rsidRPr="00966F39" w:rsidRDefault="00966F39" w:rsidP="00966F39">
      <w:pPr>
        <w:widowControl/>
        <w:jc w:val="both"/>
        <w:rPr>
          <w:rFonts w:ascii="Trebuchet MS" w:eastAsia="Trebuchet MS" w:hAnsi="Trebuchet MS" w:cs="Trebuchet MS"/>
          <w:snapToGrid/>
          <w:sz w:val="22"/>
          <w:szCs w:val="22"/>
          <w:lang w:val="en-GB"/>
        </w:rPr>
      </w:pPr>
    </w:p>
    <w:p w:rsidR="00966F39" w:rsidRPr="00966F39" w:rsidRDefault="00966F39" w:rsidP="00966F39">
      <w:pPr>
        <w:keepNext/>
        <w:widowControl/>
        <w:jc w:val="both"/>
        <w:outlineLvl w:val="0"/>
        <w:rPr>
          <w:rFonts w:ascii="Trebuchet MS" w:eastAsia="Trebuchet MS" w:hAnsi="Trebuchet MS" w:cs="Trebuchet MS"/>
          <w:b/>
          <w:bCs/>
          <w:snapToGrid/>
          <w:kern w:val="32"/>
          <w:sz w:val="22"/>
          <w:szCs w:val="22"/>
          <w:lang w:val="en-GB"/>
        </w:rPr>
      </w:pPr>
      <w:r w:rsidRPr="00966F39">
        <w:rPr>
          <w:rFonts w:ascii="Trebuchet MS" w:eastAsia="Trebuchet MS" w:hAnsi="Trebuchet MS" w:cs="Trebuchet MS"/>
          <w:b/>
          <w:bCs/>
          <w:snapToGrid/>
          <w:kern w:val="32"/>
          <w:sz w:val="22"/>
          <w:szCs w:val="22"/>
          <w:lang w:val="en-GB"/>
        </w:rPr>
        <w:t>Academic Misconduct</w:t>
      </w:r>
    </w:p>
    <w:p w:rsidR="00966F39" w:rsidRPr="00966F39" w:rsidRDefault="00966F39" w:rsidP="00966F39">
      <w:pPr>
        <w:widowControl/>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966F39" w:rsidRPr="00966F39" w:rsidRDefault="00966F39" w:rsidP="00966F39">
      <w:pPr>
        <w:widowControl/>
        <w:jc w:val="both"/>
        <w:rPr>
          <w:rFonts w:ascii="Trebuchet MS" w:eastAsia="Trebuchet MS" w:hAnsi="Trebuchet MS" w:cs="Trebuchet MS"/>
          <w:snapToGrid/>
          <w:sz w:val="22"/>
          <w:szCs w:val="22"/>
          <w:lang w:val="en-GB"/>
        </w:rPr>
      </w:pPr>
    </w:p>
    <w:p w:rsidR="00966F39" w:rsidRPr="00966F39" w:rsidRDefault="00966F39" w:rsidP="00966F39">
      <w:pPr>
        <w:widowControl/>
        <w:jc w:val="both"/>
        <w:rPr>
          <w:rFonts w:ascii="Trebuchet MS" w:eastAsia="Trebuchet MS" w:hAnsi="Trebuchet MS" w:cs="Trebuchet MS"/>
          <w:snapToGrid/>
          <w:sz w:val="22"/>
          <w:szCs w:val="22"/>
          <w:lang w:val="en-GB"/>
        </w:rPr>
      </w:pPr>
      <w:r w:rsidRPr="00966F39">
        <w:rPr>
          <w:rFonts w:ascii="Trebuchet MS" w:eastAsia="Trebuchet MS" w:hAnsi="Trebuchet MS" w:cs="Trebuchet MS"/>
          <w:snapToGrid/>
          <w:sz w:val="22"/>
          <w:szCs w:val="22"/>
          <w:lang w:val="en-GB"/>
        </w:rPr>
        <w:t>Procedures relating to student academic misconduct are given below:</w:t>
      </w:r>
    </w:p>
    <w:p w:rsidR="00966F39" w:rsidRPr="00966F39" w:rsidRDefault="00966F39" w:rsidP="00966F39">
      <w:pPr>
        <w:widowControl/>
        <w:jc w:val="both"/>
        <w:rPr>
          <w:rFonts w:ascii="Trebuchet MS" w:eastAsia="Trebuchet MS" w:hAnsi="Trebuchet MS" w:cs="Trebuchet MS"/>
          <w:snapToGrid/>
          <w:sz w:val="22"/>
          <w:szCs w:val="22"/>
          <w:lang w:val="en-GB"/>
        </w:rPr>
      </w:pPr>
    </w:p>
    <w:p w:rsidR="00966F39" w:rsidRPr="00966F39" w:rsidRDefault="00E47A96" w:rsidP="00966F39">
      <w:pPr>
        <w:widowControl/>
        <w:jc w:val="both"/>
        <w:rPr>
          <w:rFonts w:ascii="Trebuchet MS" w:eastAsia="Trebuchet MS" w:hAnsi="Trebuchet MS" w:cs="Trebuchet MS"/>
          <w:snapToGrid/>
          <w:color w:val="1F497D"/>
          <w:sz w:val="22"/>
          <w:szCs w:val="22"/>
          <w:lang w:val="en-GB"/>
        </w:rPr>
      </w:pPr>
      <w:hyperlink r:id="rId10" w:history="1">
        <w:r w:rsidR="00966F39" w:rsidRPr="00966F39">
          <w:rPr>
            <w:rFonts w:ascii="Trebuchet MS" w:eastAsia="Trebuchet MS" w:hAnsi="Trebuchet MS" w:cs="Trebuchet MS"/>
            <w:snapToGrid/>
            <w:color w:val="0000FF"/>
            <w:sz w:val="22"/>
            <w:szCs w:val="22"/>
            <w:u w:val="single"/>
            <w:lang w:val="en-GB"/>
          </w:rPr>
          <w:t>http://portal.solent.ac.uk/support/official-documents/information-for-students/complaints-conduct/student-academic-misconduct.aspx</w:t>
        </w:r>
      </w:hyperlink>
      <w:r w:rsidR="00966F39" w:rsidRPr="00966F39">
        <w:rPr>
          <w:rFonts w:ascii="Trebuchet MS" w:eastAsia="Trebuchet MS" w:hAnsi="Trebuchet MS" w:cs="Trebuchet MS"/>
          <w:snapToGrid/>
          <w:color w:val="1F497D"/>
          <w:sz w:val="22"/>
          <w:szCs w:val="22"/>
          <w:lang w:val="en-GB"/>
        </w:rPr>
        <w:t xml:space="preserve"> </w:t>
      </w:r>
    </w:p>
    <w:p w:rsidR="00966F39" w:rsidRPr="00966F39" w:rsidRDefault="00966F39" w:rsidP="00966F39">
      <w:pPr>
        <w:widowControl/>
        <w:jc w:val="both"/>
        <w:rPr>
          <w:rFonts w:ascii="Trebuchet MS" w:eastAsia="Trebuchet MS" w:hAnsi="Trebuchet MS" w:cs="Trebuchet MS"/>
          <w:snapToGrid/>
          <w:sz w:val="22"/>
          <w:szCs w:val="22"/>
          <w:lang w:val="en-GB"/>
        </w:rPr>
      </w:pPr>
    </w:p>
    <w:p w:rsidR="00966F39" w:rsidRPr="00966F39" w:rsidRDefault="00966F39" w:rsidP="00966F39">
      <w:pPr>
        <w:widowControl/>
        <w:jc w:val="both"/>
        <w:rPr>
          <w:rFonts w:ascii="Trebuchet MS" w:eastAsia="Trebuchet MS" w:hAnsi="Trebuchet MS" w:cs="Trebuchet MS"/>
          <w:b/>
          <w:snapToGrid/>
          <w:sz w:val="22"/>
          <w:szCs w:val="22"/>
          <w:lang w:val="en-GB"/>
        </w:rPr>
      </w:pPr>
      <w:r w:rsidRPr="00966F39">
        <w:rPr>
          <w:rFonts w:ascii="Trebuchet MS" w:eastAsia="Trebuchet MS" w:hAnsi="Trebuchet MS" w:cs="Trebuchet MS"/>
          <w:b/>
          <w:snapToGrid/>
          <w:sz w:val="22"/>
          <w:szCs w:val="22"/>
          <w:lang w:val="en-GB"/>
        </w:rPr>
        <w:t>Ethics Policy</w:t>
      </w: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r w:rsidRPr="00966F39">
        <w:rPr>
          <w:rFonts w:ascii="Trebuchet MS" w:eastAsia="Trebuchet MS" w:hAnsi="Trebuchet MS" w:cs="Trebuchet MS"/>
          <w:snapToGrid/>
          <w:color w:val="000000"/>
          <w:sz w:val="22"/>
          <w:szCs w:val="22"/>
          <w:lang w:val="en-GB"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r w:rsidRPr="00966F39">
        <w:rPr>
          <w:rFonts w:ascii="Trebuchet MS" w:eastAsia="Trebuchet MS" w:hAnsi="Trebuchet MS" w:cs="Trebuchet MS"/>
          <w:snapToGrid/>
          <w:color w:val="000000"/>
          <w:sz w:val="22"/>
          <w:szCs w:val="22"/>
          <w:lang w:val="en-GB" w:eastAsia="en-GB"/>
        </w:rPr>
        <w:t>The Ethics Policy is contained within Section 2S of the Academic Handbook:</w:t>
      </w:r>
    </w:p>
    <w:p w:rsidR="00966F39" w:rsidRPr="00966F39" w:rsidRDefault="00E47A96" w:rsidP="00966F39">
      <w:pPr>
        <w:widowControl/>
        <w:jc w:val="both"/>
        <w:rPr>
          <w:rFonts w:ascii="Trebuchet MS" w:eastAsia="Trebuchet MS" w:hAnsi="Trebuchet MS" w:cs="Trebuchet MS"/>
          <w:snapToGrid/>
          <w:color w:val="000000"/>
          <w:sz w:val="22"/>
          <w:szCs w:val="22"/>
          <w:lang w:val="en-GB" w:eastAsia="en-GB"/>
        </w:rPr>
      </w:pPr>
      <w:hyperlink r:id="rId11" w:history="1">
        <w:r w:rsidR="00966F39" w:rsidRPr="00966F39">
          <w:rPr>
            <w:rFonts w:ascii="Trebuchet MS" w:eastAsia="Trebuchet MS" w:hAnsi="Trebuchet MS" w:cs="Trebuchet MS"/>
            <w:snapToGrid/>
            <w:color w:val="0000FF"/>
            <w:sz w:val="22"/>
            <w:szCs w:val="22"/>
            <w:u w:val="single"/>
            <w:lang w:val="en-GB" w:eastAsia="en-GB"/>
          </w:rPr>
          <w:t>http://portal.solent.ac.uk/documents/academic-services/academic-handbook/section-2/2s-university-ethics-policy.pdf</w:t>
        </w:r>
      </w:hyperlink>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b/>
          <w:snapToGrid/>
          <w:color w:val="000000"/>
          <w:sz w:val="22"/>
          <w:szCs w:val="22"/>
          <w:lang w:val="en-GB" w:eastAsia="en-GB"/>
        </w:rPr>
      </w:pPr>
      <w:r w:rsidRPr="00966F39">
        <w:rPr>
          <w:rFonts w:ascii="Trebuchet MS" w:eastAsia="Trebuchet MS" w:hAnsi="Trebuchet MS" w:cs="Trebuchet MS"/>
          <w:b/>
          <w:snapToGrid/>
          <w:color w:val="000000"/>
          <w:sz w:val="22"/>
          <w:szCs w:val="22"/>
          <w:lang w:val="en-GB" w:eastAsia="en-GB"/>
        </w:rPr>
        <w:t>Anonymous Marking</w:t>
      </w: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r w:rsidRPr="00966F39">
        <w:rPr>
          <w:rFonts w:ascii="Trebuchet MS" w:eastAsia="Trebuchet MS" w:hAnsi="Trebuchet MS" w:cs="Trebuchet MS"/>
          <w:snapToGrid/>
          <w:color w:val="000000"/>
          <w:sz w:val="22"/>
          <w:szCs w:val="22"/>
          <w:lang w:val="en-GB" w:eastAsia="en-GB"/>
        </w:rPr>
        <w:t xml:space="preserve">A copy of the University’s Policy on Anonymous Marking, process details and student guidance on submission sheet completion can be found on the following links, which are also uploaded on the Student Portal.  </w:t>
      </w: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r w:rsidRPr="00966F39">
        <w:rPr>
          <w:rFonts w:ascii="Trebuchet MS" w:eastAsia="Trebuchet MS" w:hAnsi="Trebuchet MS" w:cs="Trebuchet MS"/>
          <w:snapToGrid/>
          <w:color w:val="000000"/>
          <w:sz w:val="22"/>
          <w:szCs w:val="22"/>
          <w:lang w:val="en-GB" w:eastAsia="en-GB"/>
        </w:rPr>
        <w:t xml:space="preserve">Fact Sheet:  </w:t>
      </w:r>
      <w:hyperlink r:id="rId12" w:history="1">
        <w:r w:rsidRPr="00966F39">
          <w:rPr>
            <w:rFonts w:ascii="Trebuchet MS" w:eastAsia="Trebuchet MS" w:hAnsi="Trebuchet MS" w:cs="Trebuchet MS"/>
            <w:snapToGrid/>
            <w:color w:val="0000FF"/>
            <w:sz w:val="22"/>
            <w:szCs w:val="22"/>
            <w:u w:val="single"/>
            <w:lang w:val="en-GB" w:eastAsia="en-GB"/>
          </w:rPr>
          <w:t>http://portal.solent.ac.uk/documents/academic-services/policies-procedures-guidelines/anonymous-marking-fact-sheet.pdf</w:t>
        </w:r>
      </w:hyperlink>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snapToGrid/>
          <w:szCs w:val="24"/>
          <w:lang w:val="en-GB"/>
        </w:rPr>
      </w:pPr>
      <w:r w:rsidRPr="00966F39">
        <w:rPr>
          <w:rFonts w:ascii="Trebuchet MS" w:eastAsia="Trebuchet MS" w:hAnsi="Trebuchet MS" w:cs="Trebuchet MS"/>
          <w:snapToGrid/>
          <w:color w:val="000000"/>
          <w:sz w:val="22"/>
          <w:szCs w:val="22"/>
          <w:lang w:val="en-GB" w:eastAsia="en-GB"/>
        </w:rPr>
        <w:t xml:space="preserve">Process:  </w:t>
      </w:r>
      <w:hyperlink r:id="rId13" w:history="1">
        <w:r w:rsidRPr="00966F39">
          <w:rPr>
            <w:rFonts w:ascii="Trebuchet MS" w:eastAsia="Trebuchet MS" w:hAnsi="Trebuchet MS" w:cs="Trebuchet MS"/>
            <w:snapToGrid/>
            <w:color w:val="0000FF"/>
            <w:sz w:val="22"/>
            <w:szCs w:val="22"/>
            <w:u w:val="single"/>
            <w:lang w:val="en-GB"/>
          </w:rPr>
          <w:t>http://portal.solent.ac.uk/documents/academic-services/policies-procedures-guidelines/anonymous-marking-process.pdf</w:t>
        </w:r>
      </w:hyperlink>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b/>
          <w:snapToGrid/>
          <w:color w:val="000000"/>
          <w:sz w:val="22"/>
          <w:szCs w:val="22"/>
          <w:lang w:val="en-GB" w:eastAsia="en-GB"/>
        </w:rPr>
      </w:pPr>
      <w:r w:rsidRPr="00966F39">
        <w:rPr>
          <w:rFonts w:ascii="Trebuchet MS" w:eastAsia="Trebuchet MS" w:hAnsi="Trebuchet MS" w:cs="Trebuchet MS"/>
          <w:b/>
          <w:snapToGrid/>
          <w:color w:val="000000"/>
          <w:sz w:val="22"/>
          <w:szCs w:val="22"/>
          <w:lang w:val="en-GB" w:eastAsia="en-GB"/>
        </w:rPr>
        <w:t>Grade marking</w:t>
      </w: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r w:rsidRPr="00966F39">
        <w:rPr>
          <w:rFonts w:ascii="Trebuchet MS" w:eastAsia="Trebuchet MS" w:hAnsi="Trebuchet MS" w:cs="Trebuchet MS"/>
          <w:snapToGrid/>
          <w:color w:val="000000"/>
          <w:sz w:val="22"/>
          <w:szCs w:val="22"/>
          <w:lang w:val="en-GB"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p>
    <w:p w:rsidR="00966F39" w:rsidRPr="00966F39" w:rsidRDefault="00966F39" w:rsidP="00966F39">
      <w:pPr>
        <w:widowControl/>
        <w:jc w:val="both"/>
        <w:rPr>
          <w:rFonts w:ascii="Trebuchet MS" w:eastAsia="Trebuchet MS" w:hAnsi="Trebuchet MS" w:cs="Trebuchet MS"/>
          <w:snapToGrid/>
          <w:color w:val="000000"/>
          <w:sz w:val="22"/>
          <w:szCs w:val="22"/>
          <w:lang w:val="en-GB" w:eastAsia="en-GB"/>
        </w:rPr>
      </w:pPr>
      <w:r w:rsidRPr="00966F39">
        <w:rPr>
          <w:rFonts w:ascii="Trebuchet MS" w:eastAsia="Trebuchet MS" w:hAnsi="Trebuchet MS" w:cs="Trebuchet MS"/>
          <w:snapToGrid/>
          <w:color w:val="000000"/>
          <w:sz w:val="22"/>
          <w:szCs w:val="22"/>
          <w:lang w:val="en-GB" w:eastAsia="en-GB"/>
        </w:rPr>
        <w:t xml:space="preserve">Policy: </w:t>
      </w:r>
      <w:r w:rsidRPr="00966F39">
        <w:rPr>
          <w:rFonts w:ascii="Trebuchet MS" w:eastAsia="Trebuchet MS" w:hAnsi="Trebuchet MS" w:cs="Trebuchet MS"/>
          <w:snapToGrid/>
          <w:color w:val="000000"/>
          <w:sz w:val="22"/>
          <w:szCs w:val="22"/>
          <w:lang w:val="en-GB" w:eastAsia="en-GB"/>
        </w:rPr>
        <w:tab/>
      </w:r>
      <w:hyperlink r:id="rId14" w:history="1">
        <w:r w:rsidRPr="00966F39">
          <w:rPr>
            <w:rFonts w:ascii="Trebuchet MS" w:eastAsia="Trebuchet MS" w:hAnsi="Trebuchet MS" w:cs="Trebuchet MS"/>
            <w:snapToGrid/>
            <w:color w:val="0000FF"/>
            <w:sz w:val="22"/>
            <w:szCs w:val="22"/>
            <w:u w:val="single"/>
            <w:lang w:val="en-GB" w:eastAsia="en-GB"/>
          </w:rPr>
          <w:t>http://portal.solent.ac.uk/documents/academic-services/academic-handbook/section-2/2o-assessment-policy.pdf</w:t>
        </w:r>
      </w:hyperlink>
    </w:p>
    <w:p w:rsidR="00676A20" w:rsidRDefault="00676A20" w:rsidP="00C41551">
      <w:pPr>
        <w:widowControl/>
        <w:spacing w:before="100" w:beforeAutospacing="1" w:after="100" w:afterAutospacing="1"/>
        <w:rPr>
          <w:rFonts w:ascii="Trebuchet MS" w:hAnsi="Trebuchet MS"/>
          <w:b/>
          <w:snapToGrid/>
          <w:sz w:val="28"/>
          <w:szCs w:val="28"/>
          <w:lang w:val="en-GB"/>
        </w:rPr>
        <w:sectPr w:rsidR="00676A20" w:rsidSect="00C55310">
          <w:footerReference w:type="default" r:id="rId15"/>
          <w:endnotePr>
            <w:numFmt w:val="decimal"/>
          </w:endnotePr>
          <w:pgSz w:w="11905" w:h="16837"/>
          <w:pgMar w:top="1134" w:right="1440" w:bottom="1135" w:left="1440" w:header="1080" w:footer="587" w:gutter="0"/>
          <w:cols w:space="720"/>
          <w:noEndnote/>
        </w:sectPr>
      </w:pPr>
    </w:p>
    <w:p w:rsidR="00676A20" w:rsidRPr="00D13172" w:rsidRDefault="00676A20" w:rsidP="00676A20">
      <w:pPr>
        <w:widowControl/>
        <w:spacing w:before="240" w:after="60" w:line="276" w:lineRule="auto"/>
        <w:outlineLvl w:val="4"/>
        <w:rPr>
          <w:rFonts w:ascii="Calibri" w:hAnsi="Calibri"/>
          <w:bCs/>
          <w:iCs/>
          <w:snapToGrid/>
          <w:sz w:val="32"/>
          <w:szCs w:val="26"/>
          <w:lang w:val="en-GB"/>
        </w:rPr>
      </w:pPr>
      <w:r w:rsidRPr="00D13172">
        <w:rPr>
          <w:rFonts w:ascii="Trebuchet MS" w:hAnsi="Trebuchet MS"/>
          <w:b/>
          <w:bCs/>
          <w:iCs/>
          <w:snapToGrid/>
          <w:sz w:val="28"/>
          <w:szCs w:val="22"/>
          <w:lang w:val="en-GB"/>
        </w:rPr>
        <w:lastRenderedPageBreak/>
        <w:t>Software Systems Development – Multimedia Presentation Criteria Grid</w:t>
      </w:r>
    </w:p>
    <w:p w:rsidR="00676A20" w:rsidRPr="00DC0F5E" w:rsidRDefault="00676A20" w:rsidP="00676A20">
      <w:pPr>
        <w:widowControl/>
        <w:spacing w:after="200" w:line="276" w:lineRule="auto"/>
        <w:rPr>
          <w:rFonts w:ascii="Trebuchet MS" w:eastAsia="Calibri" w:hAnsi="Trebuchet MS"/>
          <w:snapToGrid/>
          <w:sz w:val="22"/>
          <w:szCs w:val="22"/>
          <w:lang w:val="en-GB"/>
        </w:rPr>
      </w:pPr>
    </w:p>
    <w:tbl>
      <w:tblPr>
        <w:tblW w:w="14885" w:type="dxa"/>
        <w:tblInd w:w="-292" w:type="dxa"/>
        <w:tblCellMar>
          <w:left w:w="120" w:type="dxa"/>
          <w:right w:w="120" w:type="dxa"/>
        </w:tblCellMar>
        <w:tblLook w:val="0000" w:firstRow="0" w:lastRow="0" w:firstColumn="0" w:lastColumn="0" w:noHBand="0" w:noVBand="0"/>
      </w:tblPr>
      <w:tblGrid>
        <w:gridCol w:w="2552"/>
        <w:gridCol w:w="2835"/>
        <w:gridCol w:w="3119"/>
        <w:gridCol w:w="3402"/>
        <w:gridCol w:w="2977"/>
      </w:tblGrid>
      <w:tr w:rsidR="00D3598A" w:rsidRPr="00DC0F5E" w:rsidTr="00D3598A">
        <w:trPr>
          <w:cantSplit/>
          <w:trHeight w:val="528"/>
        </w:trPr>
        <w:tc>
          <w:tcPr>
            <w:tcW w:w="2552" w:type="dxa"/>
            <w:tcBorders>
              <w:top w:val="single" w:sz="6" w:space="0" w:color="auto"/>
              <w:left w:val="single" w:sz="6" w:space="0" w:color="auto"/>
              <w:right w:val="single" w:sz="6" w:space="0" w:color="auto"/>
            </w:tcBorders>
            <w:vAlign w:val="center"/>
          </w:tcPr>
          <w:p w:rsidR="00676A20" w:rsidRPr="00C55310" w:rsidRDefault="00D3598A" w:rsidP="008C6687">
            <w:pPr>
              <w:widowControl/>
              <w:spacing w:after="200" w:line="276" w:lineRule="auto"/>
              <w:jc w:val="center"/>
              <w:rPr>
                <w:rFonts w:ascii="Trebuchet MS" w:eastAsia="Calibri" w:hAnsi="Trebuchet MS"/>
                <w:b/>
                <w:snapToGrid/>
                <w:sz w:val="28"/>
                <w:szCs w:val="22"/>
                <w:lang w:val="en-GB"/>
              </w:rPr>
            </w:pPr>
            <w:r w:rsidRPr="00C55310">
              <w:rPr>
                <w:rFonts w:ascii="Trebuchet MS" w:eastAsia="Calibri" w:hAnsi="Trebuchet MS"/>
                <w:b/>
                <w:snapToGrid/>
                <w:sz w:val="28"/>
                <w:szCs w:val="22"/>
                <w:lang w:val="en-GB"/>
              </w:rPr>
              <w:t>S, F3 – F1</w:t>
            </w:r>
          </w:p>
        </w:tc>
        <w:tc>
          <w:tcPr>
            <w:tcW w:w="2835" w:type="dxa"/>
            <w:tcBorders>
              <w:top w:val="single" w:sz="6" w:space="0" w:color="auto"/>
              <w:left w:val="single" w:sz="6" w:space="0" w:color="auto"/>
              <w:right w:val="single" w:sz="6" w:space="0" w:color="auto"/>
            </w:tcBorders>
          </w:tcPr>
          <w:p w:rsidR="00676A20" w:rsidRPr="00C55310" w:rsidRDefault="00D3598A" w:rsidP="008C6687">
            <w:pPr>
              <w:widowControl/>
              <w:spacing w:after="200" w:line="276" w:lineRule="auto"/>
              <w:jc w:val="center"/>
              <w:rPr>
                <w:rFonts w:ascii="Trebuchet MS" w:eastAsia="Calibri" w:hAnsi="Trebuchet MS"/>
                <w:b/>
                <w:snapToGrid/>
                <w:sz w:val="28"/>
                <w:szCs w:val="22"/>
                <w:lang w:val="en-GB"/>
              </w:rPr>
            </w:pPr>
            <w:r w:rsidRPr="00C55310">
              <w:rPr>
                <w:rFonts w:ascii="Trebuchet MS" w:eastAsia="Calibri" w:hAnsi="Trebuchet MS"/>
                <w:b/>
                <w:snapToGrid/>
                <w:sz w:val="28"/>
                <w:szCs w:val="22"/>
                <w:lang w:val="en-GB"/>
              </w:rPr>
              <w:t>D3 – D1</w:t>
            </w:r>
          </w:p>
        </w:tc>
        <w:tc>
          <w:tcPr>
            <w:tcW w:w="3119" w:type="dxa"/>
            <w:tcBorders>
              <w:top w:val="single" w:sz="6" w:space="0" w:color="auto"/>
              <w:left w:val="single" w:sz="6" w:space="0" w:color="auto"/>
            </w:tcBorders>
            <w:vAlign w:val="center"/>
          </w:tcPr>
          <w:p w:rsidR="00676A20" w:rsidRPr="00C55310" w:rsidRDefault="00676A20" w:rsidP="008C6687">
            <w:pPr>
              <w:widowControl/>
              <w:spacing w:after="200" w:line="276" w:lineRule="auto"/>
              <w:jc w:val="center"/>
              <w:rPr>
                <w:rFonts w:ascii="Trebuchet MS" w:eastAsia="Calibri" w:hAnsi="Trebuchet MS"/>
                <w:b/>
                <w:snapToGrid/>
                <w:sz w:val="28"/>
                <w:szCs w:val="22"/>
                <w:lang w:val="en-GB"/>
              </w:rPr>
            </w:pPr>
            <w:r w:rsidRPr="00C55310">
              <w:rPr>
                <w:rFonts w:ascii="Trebuchet MS" w:eastAsia="Calibri" w:hAnsi="Trebuchet MS"/>
                <w:b/>
                <w:snapToGrid/>
                <w:sz w:val="28"/>
                <w:szCs w:val="22"/>
                <w:lang w:val="en-GB"/>
              </w:rPr>
              <w:t>C3 – C1</w:t>
            </w:r>
          </w:p>
        </w:tc>
        <w:tc>
          <w:tcPr>
            <w:tcW w:w="3402" w:type="dxa"/>
            <w:tcBorders>
              <w:top w:val="single" w:sz="6" w:space="0" w:color="auto"/>
              <w:left w:val="single" w:sz="6" w:space="0" w:color="auto"/>
            </w:tcBorders>
            <w:vAlign w:val="center"/>
          </w:tcPr>
          <w:p w:rsidR="00676A20" w:rsidRPr="00C55310" w:rsidRDefault="00676A20" w:rsidP="008C6687">
            <w:pPr>
              <w:widowControl/>
              <w:spacing w:after="200" w:line="276" w:lineRule="auto"/>
              <w:jc w:val="center"/>
              <w:rPr>
                <w:rFonts w:ascii="Trebuchet MS" w:eastAsia="Calibri" w:hAnsi="Trebuchet MS"/>
                <w:b/>
                <w:snapToGrid/>
                <w:sz w:val="28"/>
                <w:szCs w:val="22"/>
                <w:lang w:val="en-GB"/>
              </w:rPr>
            </w:pPr>
            <w:r w:rsidRPr="00C55310">
              <w:rPr>
                <w:rFonts w:ascii="Trebuchet MS" w:eastAsia="Calibri" w:hAnsi="Trebuchet MS"/>
                <w:b/>
                <w:snapToGrid/>
                <w:sz w:val="28"/>
                <w:szCs w:val="22"/>
                <w:lang w:val="en-GB"/>
              </w:rPr>
              <w:t>B3 – B1</w:t>
            </w:r>
          </w:p>
        </w:tc>
        <w:tc>
          <w:tcPr>
            <w:tcW w:w="2977" w:type="dxa"/>
            <w:tcBorders>
              <w:top w:val="single" w:sz="6" w:space="0" w:color="auto"/>
              <w:left w:val="single" w:sz="6" w:space="0" w:color="auto"/>
              <w:right w:val="single" w:sz="6" w:space="0" w:color="auto"/>
            </w:tcBorders>
            <w:vAlign w:val="center"/>
          </w:tcPr>
          <w:p w:rsidR="00676A20" w:rsidRPr="00C55310" w:rsidRDefault="00676A20" w:rsidP="008C6687">
            <w:pPr>
              <w:widowControl/>
              <w:spacing w:after="200" w:line="276" w:lineRule="auto"/>
              <w:jc w:val="center"/>
              <w:rPr>
                <w:rFonts w:ascii="Trebuchet MS" w:eastAsia="Calibri" w:hAnsi="Trebuchet MS"/>
                <w:b/>
                <w:snapToGrid/>
                <w:sz w:val="28"/>
                <w:szCs w:val="22"/>
                <w:lang w:val="en-GB"/>
              </w:rPr>
            </w:pPr>
            <w:r w:rsidRPr="00C55310">
              <w:rPr>
                <w:rFonts w:ascii="Trebuchet MS" w:eastAsia="Calibri" w:hAnsi="Trebuchet MS"/>
                <w:b/>
                <w:snapToGrid/>
                <w:sz w:val="28"/>
                <w:szCs w:val="22"/>
                <w:lang w:val="en-GB"/>
              </w:rPr>
              <w:t>A4 – A1</w:t>
            </w:r>
          </w:p>
        </w:tc>
      </w:tr>
      <w:tr w:rsidR="00D3598A" w:rsidRPr="00DC0F5E" w:rsidTr="00D3598A">
        <w:trPr>
          <w:cantSplit/>
          <w:trHeight w:val="318"/>
        </w:trPr>
        <w:tc>
          <w:tcPr>
            <w:tcW w:w="14885" w:type="dxa"/>
            <w:gridSpan w:val="5"/>
            <w:tcBorders>
              <w:top w:val="single" w:sz="6" w:space="0" w:color="auto"/>
              <w:left w:val="single" w:sz="6" w:space="0" w:color="auto"/>
              <w:right w:val="single" w:sz="6" w:space="0" w:color="auto"/>
            </w:tcBorders>
            <w:shd w:val="pct5" w:color="auto" w:fill="FFFFFF"/>
          </w:tcPr>
          <w:p w:rsidR="00D3598A" w:rsidRPr="00C55310" w:rsidRDefault="00D3598A" w:rsidP="008C6687">
            <w:pPr>
              <w:keepNext/>
              <w:tabs>
                <w:tab w:val="left" w:pos="-1440"/>
              </w:tabs>
              <w:ind w:left="720" w:hanging="720"/>
              <w:outlineLvl w:val="0"/>
              <w:rPr>
                <w:rFonts w:ascii="Trebuchet MS" w:hAnsi="Trebuchet MS"/>
                <w:b/>
                <w:sz w:val="28"/>
                <w:szCs w:val="22"/>
                <w:lang w:val="en-GB"/>
              </w:rPr>
            </w:pPr>
            <w:r w:rsidRPr="00C55310">
              <w:rPr>
                <w:rFonts w:ascii="Trebuchet MS" w:hAnsi="Trebuchet MS"/>
                <w:b/>
                <w:sz w:val="28"/>
                <w:szCs w:val="22"/>
                <w:lang w:val="en-GB"/>
              </w:rPr>
              <w:t>Depth of Knowledge and Understanding  (Learning Outcomes K1 &amp; T1)</w:t>
            </w:r>
          </w:p>
        </w:tc>
      </w:tr>
      <w:tr w:rsidR="00D3598A" w:rsidRPr="00DC0F5E" w:rsidTr="00D3598A">
        <w:trPr>
          <w:cantSplit/>
          <w:trHeight w:val="2766"/>
        </w:trPr>
        <w:tc>
          <w:tcPr>
            <w:tcW w:w="2552" w:type="dxa"/>
            <w:tcBorders>
              <w:top w:val="single" w:sz="6" w:space="0" w:color="auto"/>
              <w:left w:val="single" w:sz="6" w:space="0" w:color="auto"/>
              <w:righ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Pr="00DC0F5E" w:rsidRDefault="00D3598A" w:rsidP="008C6687">
            <w:pPr>
              <w:widowControl/>
              <w:spacing w:after="200" w:line="276" w:lineRule="auto"/>
              <w:rPr>
                <w:rFonts w:ascii="Trebuchet MS" w:eastAsia="Calibri" w:hAnsi="Trebuchet MS"/>
                <w:snapToGrid/>
                <w:sz w:val="22"/>
                <w:szCs w:val="22"/>
                <w:lang w:val="en-GB"/>
              </w:rPr>
            </w:pPr>
            <w:r>
              <w:rPr>
                <w:rFonts w:ascii="Trebuchet MS" w:eastAsia="Calibri" w:hAnsi="Trebuchet MS"/>
                <w:snapToGrid/>
                <w:sz w:val="22"/>
                <w:szCs w:val="22"/>
                <w:lang w:val="en-GB"/>
              </w:rPr>
              <w:t>Fails to show sufficient understanding of the topic or the relevance of the subject matter.</w:t>
            </w:r>
          </w:p>
        </w:tc>
        <w:tc>
          <w:tcPr>
            <w:tcW w:w="2835" w:type="dxa"/>
            <w:tcBorders>
              <w:top w:val="single" w:sz="6" w:space="0" w:color="auto"/>
              <w:left w:val="single" w:sz="6" w:space="0" w:color="auto"/>
              <w:righ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Pr="00DC0F5E" w:rsidRDefault="00D3598A"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 xml:space="preserve">Satisfactory understanding of </w:t>
            </w:r>
            <w:r>
              <w:rPr>
                <w:rFonts w:ascii="Trebuchet MS" w:eastAsia="Calibri" w:hAnsi="Trebuchet MS"/>
                <w:snapToGrid/>
                <w:sz w:val="22"/>
                <w:szCs w:val="22"/>
                <w:lang w:val="en-GB"/>
              </w:rPr>
              <w:t xml:space="preserve">the application of </w:t>
            </w:r>
            <w:r w:rsidRPr="00DC0F5E">
              <w:rPr>
                <w:rFonts w:ascii="Trebuchet MS" w:eastAsia="Calibri" w:hAnsi="Trebuchet MS"/>
                <w:snapToGrid/>
                <w:sz w:val="22"/>
                <w:szCs w:val="22"/>
                <w:lang w:val="en-GB"/>
              </w:rPr>
              <w:t>fundamental subject matter, but lacking in breadth or depth.</w:t>
            </w:r>
          </w:p>
        </w:tc>
        <w:tc>
          <w:tcPr>
            <w:tcW w:w="3119" w:type="dxa"/>
            <w:tcBorders>
              <w:top w:val="single" w:sz="6" w:space="0" w:color="auto"/>
              <w:lef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Pr="00DC0F5E" w:rsidRDefault="00676A20"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Demonstrates good subject knowledge and understanding of the key concepts</w:t>
            </w:r>
            <w:r>
              <w:rPr>
                <w:rFonts w:ascii="Trebuchet MS" w:eastAsia="Calibri" w:hAnsi="Trebuchet MS"/>
                <w:snapToGrid/>
                <w:sz w:val="22"/>
                <w:szCs w:val="22"/>
                <w:lang w:val="en-GB"/>
              </w:rPr>
              <w:t xml:space="preserve"> relevant to the application of the topic to software development practice</w:t>
            </w:r>
            <w:r w:rsidRPr="00DC0F5E">
              <w:rPr>
                <w:rFonts w:ascii="Trebuchet MS" w:eastAsia="Calibri" w:hAnsi="Trebuchet MS"/>
                <w:snapToGrid/>
                <w:sz w:val="22"/>
                <w:szCs w:val="22"/>
                <w:lang w:val="en-GB"/>
              </w:rPr>
              <w:t>.</w:t>
            </w:r>
          </w:p>
        </w:tc>
        <w:tc>
          <w:tcPr>
            <w:tcW w:w="3402" w:type="dxa"/>
            <w:tcBorders>
              <w:top w:val="single" w:sz="6" w:space="0" w:color="auto"/>
              <w:lef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Default="00676A20"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 xml:space="preserve">Possesses detailed subject knowledge and understanding of a range of concepts relevant to the </w:t>
            </w:r>
            <w:r>
              <w:rPr>
                <w:rFonts w:ascii="Trebuchet MS" w:eastAsia="Calibri" w:hAnsi="Trebuchet MS"/>
                <w:snapToGrid/>
                <w:sz w:val="22"/>
                <w:szCs w:val="22"/>
                <w:lang w:val="en-GB"/>
              </w:rPr>
              <w:t>application of the topic to software development practice</w:t>
            </w:r>
            <w:r w:rsidRPr="00DC0F5E">
              <w:rPr>
                <w:rFonts w:ascii="Trebuchet MS" w:eastAsia="Calibri" w:hAnsi="Trebuchet MS"/>
                <w:snapToGrid/>
                <w:sz w:val="22"/>
                <w:szCs w:val="22"/>
                <w:lang w:val="en-GB"/>
              </w:rPr>
              <w:t>. Evidence of</w:t>
            </w:r>
            <w:r>
              <w:rPr>
                <w:rFonts w:ascii="Trebuchet MS" w:eastAsia="Calibri" w:hAnsi="Trebuchet MS"/>
                <w:snapToGrid/>
                <w:sz w:val="22"/>
                <w:szCs w:val="22"/>
                <w:lang w:val="en-GB"/>
              </w:rPr>
              <w:t xml:space="preserve"> specialisation in depth.</w:t>
            </w:r>
          </w:p>
          <w:p w:rsidR="00C55310" w:rsidRPr="00DC0F5E" w:rsidRDefault="00C55310" w:rsidP="008C6687">
            <w:pPr>
              <w:widowControl/>
              <w:spacing w:after="200" w:line="276" w:lineRule="auto"/>
              <w:rPr>
                <w:rFonts w:ascii="Trebuchet MS" w:eastAsia="Calibri" w:hAnsi="Trebuchet MS"/>
                <w:snapToGrid/>
                <w:sz w:val="22"/>
                <w:szCs w:val="22"/>
                <w:lang w:val="en-GB"/>
              </w:rPr>
            </w:pPr>
          </w:p>
        </w:tc>
        <w:tc>
          <w:tcPr>
            <w:tcW w:w="2977" w:type="dxa"/>
            <w:tcBorders>
              <w:top w:val="single" w:sz="6" w:space="0" w:color="auto"/>
              <w:left w:val="single" w:sz="6" w:space="0" w:color="auto"/>
              <w:righ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Pr="00DC0F5E" w:rsidRDefault="00676A20"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 xml:space="preserve">Shows a comprehensive and </w:t>
            </w:r>
            <w:r>
              <w:rPr>
                <w:rFonts w:ascii="Trebuchet MS" w:eastAsia="Calibri" w:hAnsi="Trebuchet MS"/>
                <w:snapToGrid/>
                <w:sz w:val="22"/>
                <w:szCs w:val="22"/>
                <w:lang w:val="en-GB"/>
              </w:rPr>
              <w:t>detailed knowledge of the topic and how it is applied to software engineering</w:t>
            </w:r>
            <w:r w:rsidRPr="00DC0F5E">
              <w:rPr>
                <w:rFonts w:ascii="Trebuchet MS" w:eastAsia="Calibri" w:hAnsi="Trebuchet MS"/>
                <w:snapToGrid/>
                <w:sz w:val="22"/>
                <w:szCs w:val="22"/>
                <w:lang w:val="en-GB"/>
              </w:rPr>
              <w:t>. Has a deep understanding of the wider context of the topic</w:t>
            </w:r>
            <w:r>
              <w:rPr>
                <w:rFonts w:ascii="Trebuchet MS" w:eastAsia="Calibri" w:hAnsi="Trebuchet MS"/>
                <w:snapToGrid/>
                <w:sz w:val="22"/>
                <w:szCs w:val="22"/>
                <w:lang w:val="en-GB"/>
              </w:rPr>
              <w:t>.</w:t>
            </w:r>
          </w:p>
        </w:tc>
      </w:tr>
      <w:tr w:rsidR="00D3598A" w:rsidRPr="00DC0F5E" w:rsidTr="00D3598A">
        <w:trPr>
          <w:cantSplit/>
          <w:trHeight w:val="282"/>
        </w:trPr>
        <w:tc>
          <w:tcPr>
            <w:tcW w:w="14885" w:type="dxa"/>
            <w:gridSpan w:val="5"/>
            <w:tcBorders>
              <w:top w:val="single" w:sz="6" w:space="0" w:color="auto"/>
              <w:left w:val="single" w:sz="6" w:space="0" w:color="auto"/>
              <w:bottom w:val="single" w:sz="6" w:space="0" w:color="auto"/>
              <w:right w:val="single" w:sz="6" w:space="0" w:color="auto"/>
            </w:tcBorders>
            <w:shd w:val="pct5" w:color="auto" w:fill="FFFFFF"/>
          </w:tcPr>
          <w:p w:rsidR="00D3598A" w:rsidRPr="00C55310" w:rsidRDefault="00D3598A" w:rsidP="008C6687">
            <w:pPr>
              <w:widowControl/>
              <w:spacing w:after="200" w:line="276" w:lineRule="auto"/>
              <w:rPr>
                <w:rFonts w:ascii="Trebuchet MS" w:eastAsia="Calibri" w:hAnsi="Trebuchet MS"/>
                <w:snapToGrid/>
                <w:sz w:val="28"/>
                <w:szCs w:val="22"/>
                <w:lang w:val="en-GB"/>
              </w:rPr>
            </w:pPr>
            <w:r w:rsidRPr="00C55310">
              <w:rPr>
                <w:rFonts w:ascii="Trebuchet MS" w:eastAsia="Calibri" w:hAnsi="Trebuchet MS"/>
                <w:b/>
                <w:snapToGrid/>
                <w:sz w:val="28"/>
                <w:szCs w:val="22"/>
                <w:lang w:val="en-GB"/>
              </w:rPr>
              <w:t>Presentation  (Learning Outcome T2)</w:t>
            </w:r>
          </w:p>
        </w:tc>
      </w:tr>
      <w:tr w:rsidR="00D3598A" w:rsidRPr="00DC0F5E" w:rsidTr="00D3598A">
        <w:trPr>
          <w:cantSplit/>
          <w:trHeight w:val="2253"/>
        </w:trPr>
        <w:tc>
          <w:tcPr>
            <w:tcW w:w="2552" w:type="dxa"/>
            <w:tcBorders>
              <w:top w:val="single" w:sz="6" w:space="0" w:color="auto"/>
              <w:left w:val="single" w:sz="6" w:space="0" w:color="auto"/>
              <w:bottom w:val="single" w:sz="4" w:space="0" w:color="auto"/>
              <w:righ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Pr="00DC0F5E" w:rsidRDefault="00D3598A" w:rsidP="008C6687">
            <w:pPr>
              <w:widowControl/>
              <w:spacing w:after="200" w:line="276" w:lineRule="auto"/>
              <w:rPr>
                <w:rFonts w:ascii="Trebuchet MS" w:eastAsia="Calibri" w:hAnsi="Trebuchet MS"/>
                <w:snapToGrid/>
                <w:sz w:val="22"/>
                <w:szCs w:val="22"/>
                <w:lang w:val="en-GB"/>
              </w:rPr>
            </w:pPr>
            <w:r>
              <w:rPr>
                <w:rFonts w:ascii="Trebuchet MS" w:eastAsia="Calibri" w:hAnsi="Trebuchet MS"/>
                <w:snapToGrid/>
                <w:sz w:val="22"/>
                <w:szCs w:val="22"/>
                <w:lang w:val="en-GB"/>
              </w:rPr>
              <w:t>Fails to present relevant material in accordance with guidelines.</w:t>
            </w:r>
          </w:p>
        </w:tc>
        <w:tc>
          <w:tcPr>
            <w:tcW w:w="2835" w:type="dxa"/>
            <w:tcBorders>
              <w:top w:val="single" w:sz="6" w:space="0" w:color="auto"/>
              <w:left w:val="single" w:sz="6" w:space="0" w:color="auto"/>
              <w:bottom w:val="single" w:sz="4" w:space="0" w:color="auto"/>
              <w:righ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Default="00D3598A"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 xml:space="preserve">Meets the guidelines for the </w:t>
            </w:r>
            <w:r>
              <w:rPr>
                <w:rFonts w:ascii="Trebuchet MS" w:eastAsia="Calibri" w:hAnsi="Trebuchet MS"/>
                <w:snapToGrid/>
                <w:sz w:val="22"/>
                <w:szCs w:val="22"/>
                <w:lang w:val="en-GB"/>
              </w:rPr>
              <w:t>presentation.</w:t>
            </w:r>
          </w:p>
          <w:p w:rsidR="00D3598A" w:rsidRPr="00DC0F5E" w:rsidRDefault="00D3598A" w:rsidP="008C6687">
            <w:pPr>
              <w:widowControl/>
              <w:spacing w:after="200" w:line="276" w:lineRule="auto"/>
              <w:rPr>
                <w:rFonts w:ascii="Trebuchet MS" w:eastAsia="Calibri" w:hAnsi="Trebuchet MS"/>
                <w:snapToGrid/>
                <w:sz w:val="22"/>
                <w:szCs w:val="22"/>
                <w:lang w:val="en-GB"/>
              </w:rPr>
            </w:pPr>
            <w:r>
              <w:rPr>
                <w:rFonts w:ascii="Trebuchet MS" w:eastAsia="Calibri" w:hAnsi="Trebuchet MS"/>
                <w:snapToGrid/>
                <w:sz w:val="22"/>
                <w:szCs w:val="22"/>
                <w:lang w:val="en-GB"/>
              </w:rPr>
              <w:t>Poor use of referenced material.</w:t>
            </w:r>
          </w:p>
        </w:tc>
        <w:tc>
          <w:tcPr>
            <w:tcW w:w="3119" w:type="dxa"/>
            <w:tcBorders>
              <w:top w:val="single" w:sz="6" w:space="0" w:color="auto"/>
              <w:left w:val="single" w:sz="6" w:space="0" w:color="auto"/>
              <w:bottom w:val="single" w:sz="4"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Default="00676A20"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Provides a coherent framework for the subject in hand, communicates content effectively</w:t>
            </w:r>
            <w:r w:rsidR="00D3598A">
              <w:rPr>
                <w:rFonts w:ascii="Trebuchet MS" w:eastAsia="Calibri" w:hAnsi="Trebuchet MS"/>
                <w:snapToGrid/>
                <w:sz w:val="22"/>
                <w:szCs w:val="22"/>
                <w:lang w:val="en-GB"/>
              </w:rPr>
              <w:t>.</w:t>
            </w:r>
          </w:p>
          <w:p w:rsidR="00D3598A" w:rsidRDefault="00D3598A" w:rsidP="008C6687">
            <w:pPr>
              <w:widowControl/>
              <w:spacing w:after="200" w:line="276" w:lineRule="auto"/>
              <w:rPr>
                <w:rFonts w:ascii="Trebuchet MS" w:eastAsia="Calibri" w:hAnsi="Trebuchet MS"/>
                <w:snapToGrid/>
                <w:sz w:val="22"/>
                <w:szCs w:val="22"/>
                <w:lang w:val="en-GB"/>
              </w:rPr>
            </w:pPr>
            <w:r>
              <w:rPr>
                <w:rFonts w:ascii="Trebuchet MS" w:eastAsia="Calibri" w:hAnsi="Trebuchet MS"/>
                <w:snapToGrid/>
                <w:sz w:val="22"/>
                <w:szCs w:val="22"/>
                <w:lang w:val="en-GB"/>
              </w:rPr>
              <w:t>Reasonably referenced.</w:t>
            </w:r>
          </w:p>
          <w:p w:rsidR="00C55310" w:rsidRPr="00DC0F5E" w:rsidRDefault="00C55310" w:rsidP="008C6687">
            <w:pPr>
              <w:widowControl/>
              <w:spacing w:after="200" w:line="276" w:lineRule="auto"/>
              <w:rPr>
                <w:rFonts w:ascii="Trebuchet MS" w:eastAsia="Calibri" w:hAnsi="Trebuchet MS"/>
                <w:snapToGrid/>
                <w:sz w:val="22"/>
                <w:szCs w:val="22"/>
                <w:lang w:val="en-GB"/>
              </w:rPr>
            </w:pPr>
          </w:p>
        </w:tc>
        <w:tc>
          <w:tcPr>
            <w:tcW w:w="3402" w:type="dxa"/>
            <w:tcBorders>
              <w:top w:val="single" w:sz="6" w:space="0" w:color="auto"/>
              <w:left w:val="single" w:sz="6" w:space="0" w:color="auto"/>
              <w:bottom w:val="single" w:sz="4"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Default="00676A20"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Forms a coherent whole and is consistent in its reasoning and presentation of fact</w:t>
            </w:r>
          </w:p>
          <w:p w:rsidR="00D3598A" w:rsidRPr="00DC0F5E" w:rsidRDefault="00D3598A" w:rsidP="008C6687">
            <w:pPr>
              <w:widowControl/>
              <w:spacing w:after="200" w:line="276" w:lineRule="auto"/>
              <w:rPr>
                <w:rFonts w:ascii="Trebuchet MS" w:eastAsia="Calibri" w:hAnsi="Trebuchet MS"/>
                <w:snapToGrid/>
                <w:sz w:val="22"/>
                <w:szCs w:val="22"/>
                <w:lang w:val="en-GB"/>
              </w:rPr>
            </w:pPr>
            <w:r>
              <w:rPr>
                <w:rFonts w:ascii="Trebuchet MS" w:eastAsia="Calibri" w:hAnsi="Trebuchet MS"/>
                <w:snapToGrid/>
                <w:sz w:val="22"/>
                <w:szCs w:val="22"/>
                <w:lang w:val="en-GB"/>
              </w:rPr>
              <w:t>Good referencing.</w:t>
            </w:r>
          </w:p>
        </w:tc>
        <w:tc>
          <w:tcPr>
            <w:tcW w:w="2977" w:type="dxa"/>
            <w:tcBorders>
              <w:top w:val="single" w:sz="6" w:space="0" w:color="auto"/>
              <w:left w:val="single" w:sz="6" w:space="0" w:color="auto"/>
              <w:bottom w:val="single" w:sz="4" w:space="0" w:color="auto"/>
              <w:right w:val="single" w:sz="6" w:space="0" w:color="auto"/>
            </w:tcBorders>
          </w:tcPr>
          <w:p w:rsidR="00C55310" w:rsidRDefault="00C55310" w:rsidP="008C6687">
            <w:pPr>
              <w:widowControl/>
              <w:spacing w:after="200" w:line="276" w:lineRule="auto"/>
              <w:rPr>
                <w:rFonts w:ascii="Trebuchet MS" w:eastAsia="Calibri" w:hAnsi="Trebuchet MS"/>
                <w:snapToGrid/>
                <w:sz w:val="22"/>
                <w:szCs w:val="22"/>
                <w:lang w:val="en-GB"/>
              </w:rPr>
            </w:pPr>
          </w:p>
          <w:p w:rsidR="00676A20" w:rsidRPr="00DC0F5E" w:rsidRDefault="00676A20" w:rsidP="008C6687">
            <w:pPr>
              <w:widowControl/>
              <w:spacing w:after="200" w:line="276" w:lineRule="auto"/>
              <w:rPr>
                <w:rFonts w:ascii="Trebuchet MS" w:eastAsia="Calibri" w:hAnsi="Trebuchet MS"/>
                <w:snapToGrid/>
                <w:sz w:val="22"/>
                <w:szCs w:val="22"/>
                <w:lang w:val="en-GB"/>
              </w:rPr>
            </w:pPr>
            <w:r w:rsidRPr="00DC0F5E">
              <w:rPr>
                <w:rFonts w:ascii="Trebuchet MS" w:eastAsia="Calibri" w:hAnsi="Trebuchet MS"/>
                <w:snapToGrid/>
                <w:sz w:val="22"/>
                <w:szCs w:val="22"/>
                <w:lang w:val="en-GB"/>
              </w:rPr>
              <w:t>No errors of reasoning or fact, extensive reference to  appropriate literature, detailed and coherent presentation</w:t>
            </w:r>
          </w:p>
        </w:tc>
      </w:tr>
    </w:tbl>
    <w:p w:rsidR="00475C3D" w:rsidRPr="00C25E83" w:rsidRDefault="00475C3D" w:rsidP="00676A20">
      <w:pPr>
        <w:pStyle w:val="Heading1"/>
        <w:ind w:left="0" w:firstLine="0"/>
        <w:rPr>
          <w:rFonts w:ascii="Trebuchet MS" w:hAnsi="Trebuchet MS"/>
          <w:b w:val="0"/>
          <w:szCs w:val="24"/>
        </w:rPr>
      </w:pPr>
    </w:p>
    <w:sectPr w:rsidR="00475C3D" w:rsidRPr="00C25E83" w:rsidSect="00676A20">
      <w:endnotePr>
        <w:numFmt w:val="decimal"/>
      </w:endnotePr>
      <w:pgSz w:w="16837" w:h="11905" w:orient="landscape"/>
      <w:pgMar w:top="1440" w:right="1134" w:bottom="1440" w:left="1135" w:header="1080" w:footer="587"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A96" w:rsidRDefault="00E47A96">
      <w:r>
        <w:separator/>
      </w:r>
    </w:p>
  </w:endnote>
  <w:endnote w:type="continuationSeparator" w:id="0">
    <w:p w:rsidR="00E47A96" w:rsidRDefault="00E4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275" w:rsidRPr="00C65C2C" w:rsidRDefault="00BB02B7" w:rsidP="00C65C2C">
    <w:pPr>
      <w:pStyle w:val="Footer"/>
      <w:tabs>
        <w:tab w:val="clear" w:pos="4320"/>
        <w:tab w:val="clear" w:pos="8640"/>
        <w:tab w:val="right" w:pos="9025"/>
      </w:tabs>
      <w:rPr>
        <w:rFonts w:ascii="Trebuchet MS" w:hAnsi="Trebuchet MS"/>
        <w:sz w:val="20"/>
      </w:rPr>
    </w:pPr>
    <w:r>
      <w:rPr>
        <w:rFonts w:ascii="Trebuchet MS" w:hAnsi="Trebuchet MS"/>
        <w:sz w:val="20"/>
      </w:rPr>
      <w:t xml:space="preserve">Software Systems Development </w:t>
    </w:r>
    <w:r w:rsidR="00B37275">
      <w:rPr>
        <w:rFonts w:ascii="Trebuchet MS" w:hAnsi="Trebuchet MS"/>
        <w:sz w:val="20"/>
      </w:rPr>
      <w:t>AE</w:t>
    </w:r>
    <w:r>
      <w:rPr>
        <w:rFonts w:ascii="Trebuchet MS" w:hAnsi="Trebuchet MS"/>
        <w:sz w:val="20"/>
      </w:rPr>
      <w:t xml:space="preserve">1           </w:t>
    </w:r>
    <w:r w:rsidR="00B37275">
      <w:rPr>
        <w:rFonts w:ascii="Trebuchet MS" w:hAnsi="Trebuchet MS"/>
        <w:sz w:val="20"/>
      </w:rPr>
      <w:t xml:space="preserve">            </w:t>
    </w:r>
    <w:r w:rsidR="00B37275" w:rsidRPr="00C65C2C">
      <w:rPr>
        <w:rFonts w:ascii="Trebuchet MS" w:hAnsi="Trebuchet MS"/>
        <w:sz w:val="20"/>
      </w:rPr>
      <w:t>201</w:t>
    </w:r>
    <w:r w:rsidR="008F3969">
      <w:rPr>
        <w:rFonts w:ascii="Trebuchet MS" w:hAnsi="Trebuchet MS"/>
        <w:sz w:val="20"/>
      </w:rPr>
      <w:t>7</w:t>
    </w:r>
    <w:r w:rsidR="00B37275">
      <w:rPr>
        <w:rFonts w:ascii="Trebuchet MS" w:hAnsi="Trebuchet MS"/>
        <w:sz w:val="20"/>
      </w:rPr>
      <w:t>-201</w:t>
    </w:r>
    <w:r w:rsidR="008F3969">
      <w:rPr>
        <w:rFonts w:ascii="Trebuchet MS" w:hAnsi="Trebuchet MS"/>
        <w:sz w:val="20"/>
      </w:rPr>
      <w:t>8</w:t>
    </w:r>
    <w:r w:rsidR="00B37275" w:rsidRPr="00C65C2C">
      <w:rPr>
        <w:rFonts w:ascii="Trebuchet MS" w:hAnsi="Trebuchet MS"/>
        <w:sz w:val="20"/>
      </w:rPr>
      <w:tab/>
      <w:t xml:space="preserve">Page </w:t>
    </w:r>
    <w:r w:rsidR="00B37275" w:rsidRPr="00C65C2C">
      <w:rPr>
        <w:rFonts w:ascii="Trebuchet MS" w:hAnsi="Trebuchet MS"/>
        <w:sz w:val="20"/>
      </w:rPr>
      <w:fldChar w:fldCharType="begin"/>
    </w:r>
    <w:r w:rsidR="00B37275" w:rsidRPr="00C65C2C">
      <w:rPr>
        <w:rFonts w:ascii="Trebuchet MS" w:hAnsi="Trebuchet MS"/>
        <w:sz w:val="20"/>
      </w:rPr>
      <w:instrText xml:space="preserve"> PAGE   \* MERGEFORMAT </w:instrText>
    </w:r>
    <w:r w:rsidR="00B37275" w:rsidRPr="00C65C2C">
      <w:rPr>
        <w:rFonts w:ascii="Trebuchet MS" w:hAnsi="Trebuchet MS"/>
        <w:sz w:val="20"/>
      </w:rPr>
      <w:fldChar w:fldCharType="separate"/>
    </w:r>
    <w:r w:rsidR="001276FD">
      <w:rPr>
        <w:rFonts w:ascii="Trebuchet MS" w:hAnsi="Trebuchet MS"/>
        <w:noProof/>
        <w:sz w:val="20"/>
      </w:rPr>
      <w:t>1</w:t>
    </w:r>
    <w:r w:rsidR="00B37275" w:rsidRPr="00C65C2C">
      <w:rPr>
        <w:rFonts w:ascii="Trebuchet MS" w:hAnsi="Trebuchet M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A96" w:rsidRDefault="00E47A96">
      <w:r>
        <w:separator/>
      </w:r>
    </w:p>
  </w:footnote>
  <w:footnote w:type="continuationSeparator" w:id="0">
    <w:p w:rsidR="00E47A96" w:rsidRDefault="00E47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2A63"/>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96343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86"/>
        </w:tabs>
        <w:ind w:left="786"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7A24665"/>
    <w:multiLevelType w:val="hybridMultilevel"/>
    <w:tmpl w:val="924AA6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6A426C"/>
    <w:multiLevelType w:val="hybridMultilevel"/>
    <w:tmpl w:val="66E00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867B6A"/>
    <w:multiLevelType w:val="multilevel"/>
    <w:tmpl w:val="E348E08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6B1449"/>
    <w:multiLevelType w:val="hybridMultilevel"/>
    <w:tmpl w:val="BAEA4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213D55"/>
    <w:multiLevelType w:val="multilevel"/>
    <w:tmpl w:val="32B82168"/>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68CD3CF8"/>
    <w:multiLevelType w:val="hybridMultilevel"/>
    <w:tmpl w:val="4CACC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390E3E"/>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51337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A8062F7"/>
    <w:multiLevelType w:val="multilevel"/>
    <w:tmpl w:val="A1664B4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1"/>
  </w:num>
  <w:num w:numId="2">
    <w:abstractNumId w:val="9"/>
  </w:num>
  <w:num w:numId="3">
    <w:abstractNumId w:val="2"/>
  </w:num>
  <w:num w:numId="4">
    <w:abstractNumId w:val="3"/>
  </w:num>
  <w:num w:numId="5">
    <w:abstractNumId w:val="5"/>
  </w:num>
  <w:num w:numId="6">
    <w:abstractNumId w:val="8"/>
  </w:num>
  <w:num w:numId="7">
    <w:abstractNumId w:val="0"/>
  </w:num>
  <w:num w:numId="8">
    <w:abstractNumId w:val="10"/>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ED"/>
    <w:rsid w:val="00002F08"/>
    <w:rsid w:val="0000455F"/>
    <w:rsid w:val="00006125"/>
    <w:rsid w:val="00043BB6"/>
    <w:rsid w:val="000817C4"/>
    <w:rsid w:val="000925E6"/>
    <w:rsid w:val="000E5EAD"/>
    <w:rsid w:val="00104B7F"/>
    <w:rsid w:val="001276FD"/>
    <w:rsid w:val="00131B33"/>
    <w:rsid w:val="00176583"/>
    <w:rsid w:val="001A0B09"/>
    <w:rsid w:val="001A7552"/>
    <w:rsid w:val="001B04EB"/>
    <w:rsid w:val="001B1487"/>
    <w:rsid w:val="001B57AD"/>
    <w:rsid w:val="001C09A8"/>
    <w:rsid w:val="001E1689"/>
    <w:rsid w:val="001E16CD"/>
    <w:rsid w:val="001E17E5"/>
    <w:rsid w:val="002127E9"/>
    <w:rsid w:val="002229DE"/>
    <w:rsid w:val="00261410"/>
    <w:rsid w:val="002825A8"/>
    <w:rsid w:val="002852FC"/>
    <w:rsid w:val="002C1B5F"/>
    <w:rsid w:val="002E2F4B"/>
    <w:rsid w:val="002F6816"/>
    <w:rsid w:val="00302D65"/>
    <w:rsid w:val="003107A0"/>
    <w:rsid w:val="00346CBB"/>
    <w:rsid w:val="00390D87"/>
    <w:rsid w:val="003B2241"/>
    <w:rsid w:val="003B2F03"/>
    <w:rsid w:val="003D2618"/>
    <w:rsid w:val="003F3794"/>
    <w:rsid w:val="00446ECB"/>
    <w:rsid w:val="00450DB2"/>
    <w:rsid w:val="004608AE"/>
    <w:rsid w:val="004620E4"/>
    <w:rsid w:val="0047499D"/>
    <w:rsid w:val="00475C3D"/>
    <w:rsid w:val="00476759"/>
    <w:rsid w:val="004778E5"/>
    <w:rsid w:val="004B4FC7"/>
    <w:rsid w:val="004C10C8"/>
    <w:rsid w:val="004D15F3"/>
    <w:rsid w:val="004D1CEC"/>
    <w:rsid w:val="00513A23"/>
    <w:rsid w:val="00513DA9"/>
    <w:rsid w:val="00550694"/>
    <w:rsid w:val="005741B9"/>
    <w:rsid w:val="005B1FC5"/>
    <w:rsid w:val="005B40F8"/>
    <w:rsid w:val="005B7B04"/>
    <w:rsid w:val="005C3541"/>
    <w:rsid w:val="005F3C9A"/>
    <w:rsid w:val="00625661"/>
    <w:rsid w:val="00652592"/>
    <w:rsid w:val="00662229"/>
    <w:rsid w:val="00676A20"/>
    <w:rsid w:val="00681F08"/>
    <w:rsid w:val="00683EAF"/>
    <w:rsid w:val="006A1106"/>
    <w:rsid w:val="006A19E1"/>
    <w:rsid w:val="006C3FE0"/>
    <w:rsid w:val="006F5CD2"/>
    <w:rsid w:val="00714A45"/>
    <w:rsid w:val="00753CBC"/>
    <w:rsid w:val="00760186"/>
    <w:rsid w:val="007A46FB"/>
    <w:rsid w:val="007A67ED"/>
    <w:rsid w:val="007E3760"/>
    <w:rsid w:val="00825B29"/>
    <w:rsid w:val="00852926"/>
    <w:rsid w:val="00874661"/>
    <w:rsid w:val="00876248"/>
    <w:rsid w:val="00884030"/>
    <w:rsid w:val="008B79F7"/>
    <w:rsid w:val="008D1BC5"/>
    <w:rsid w:val="008F3969"/>
    <w:rsid w:val="008F3CEF"/>
    <w:rsid w:val="00916B12"/>
    <w:rsid w:val="00921BE7"/>
    <w:rsid w:val="009463BE"/>
    <w:rsid w:val="00951AE2"/>
    <w:rsid w:val="00966F39"/>
    <w:rsid w:val="009800D5"/>
    <w:rsid w:val="009F738A"/>
    <w:rsid w:val="00A43B84"/>
    <w:rsid w:val="00A63273"/>
    <w:rsid w:val="00A7119A"/>
    <w:rsid w:val="00A94028"/>
    <w:rsid w:val="00AA369C"/>
    <w:rsid w:val="00AB29DF"/>
    <w:rsid w:val="00AB4F65"/>
    <w:rsid w:val="00AC6DCC"/>
    <w:rsid w:val="00AD6E62"/>
    <w:rsid w:val="00AF250D"/>
    <w:rsid w:val="00AF398E"/>
    <w:rsid w:val="00B344F8"/>
    <w:rsid w:val="00B37275"/>
    <w:rsid w:val="00B57A4B"/>
    <w:rsid w:val="00B60F75"/>
    <w:rsid w:val="00B66550"/>
    <w:rsid w:val="00B73FF2"/>
    <w:rsid w:val="00BB02B7"/>
    <w:rsid w:val="00BB5601"/>
    <w:rsid w:val="00BE3F6F"/>
    <w:rsid w:val="00C06AFC"/>
    <w:rsid w:val="00C25E83"/>
    <w:rsid w:val="00C41551"/>
    <w:rsid w:val="00C44240"/>
    <w:rsid w:val="00C55310"/>
    <w:rsid w:val="00C65C2C"/>
    <w:rsid w:val="00C7506B"/>
    <w:rsid w:val="00C76A16"/>
    <w:rsid w:val="00C93641"/>
    <w:rsid w:val="00CA1A1A"/>
    <w:rsid w:val="00D13172"/>
    <w:rsid w:val="00D14525"/>
    <w:rsid w:val="00D16A91"/>
    <w:rsid w:val="00D3598A"/>
    <w:rsid w:val="00D77BB1"/>
    <w:rsid w:val="00D81387"/>
    <w:rsid w:val="00D869A6"/>
    <w:rsid w:val="00DA1C87"/>
    <w:rsid w:val="00DB5172"/>
    <w:rsid w:val="00DB65F5"/>
    <w:rsid w:val="00DC0F5E"/>
    <w:rsid w:val="00DD2D69"/>
    <w:rsid w:val="00E00118"/>
    <w:rsid w:val="00E32411"/>
    <w:rsid w:val="00E47A96"/>
    <w:rsid w:val="00E839A3"/>
    <w:rsid w:val="00E91035"/>
    <w:rsid w:val="00EC4280"/>
    <w:rsid w:val="00ED753C"/>
    <w:rsid w:val="00EE64EA"/>
    <w:rsid w:val="00F1011D"/>
    <w:rsid w:val="00F4035E"/>
    <w:rsid w:val="00F435AC"/>
    <w:rsid w:val="00F52895"/>
    <w:rsid w:val="00F7102C"/>
    <w:rsid w:val="00F9629D"/>
    <w:rsid w:val="00FA39F8"/>
    <w:rsid w:val="00FC1F18"/>
    <w:rsid w:val="00FC601F"/>
    <w:rsid w:val="00FD4236"/>
    <w:rsid w:val="00FE0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5C28F-DFBB-4D4C-A6D8-2B8B0747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ED"/>
    <w:pPr>
      <w:widowControl w:val="0"/>
    </w:pPr>
    <w:rPr>
      <w:rFonts w:ascii="Times New Roman" w:eastAsia="Times New Roman" w:hAnsi="Times New Roman"/>
      <w:snapToGrid w:val="0"/>
      <w:sz w:val="24"/>
      <w:lang w:val="en-US" w:eastAsia="en-US"/>
    </w:rPr>
  </w:style>
  <w:style w:type="paragraph" w:styleId="Heading1">
    <w:name w:val="heading 1"/>
    <w:basedOn w:val="Normal"/>
    <w:next w:val="Normal"/>
    <w:link w:val="Heading1Char"/>
    <w:qFormat/>
    <w:rsid w:val="007A67ED"/>
    <w:pPr>
      <w:keepNext/>
      <w:tabs>
        <w:tab w:val="left" w:pos="-1440"/>
      </w:tabs>
      <w:ind w:left="720" w:hanging="720"/>
      <w:outlineLvl w:val="0"/>
    </w:pPr>
    <w:rPr>
      <w:b/>
      <w:sz w:val="22"/>
      <w:lang w:val="en-GB"/>
    </w:rPr>
  </w:style>
  <w:style w:type="paragraph" w:styleId="Heading2">
    <w:name w:val="heading 2"/>
    <w:basedOn w:val="Normal"/>
    <w:next w:val="Normal"/>
    <w:link w:val="Heading2Char"/>
    <w:qFormat/>
    <w:rsid w:val="007A67ED"/>
    <w:pPr>
      <w:keepNext/>
      <w:tabs>
        <w:tab w:val="left" w:pos="-1440"/>
      </w:tabs>
      <w:outlineLvl w:val="1"/>
    </w:pPr>
    <w:rPr>
      <w:b/>
      <w:sz w:val="22"/>
      <w:lang w:val="en-GB"/>
    </w:rPr>
  </w:style>
  <w:style w:type="paragraph" w:styleId="Heading6">
    <w:name w:val="heading 6"/>
    <w:basedOn w:val="Normal"/>
    <w:next w:val="Normal"/>
    <w:link w:val="Heading6Char"/>
    <w:uiPriority w:val="9"/>
    <w:semiHidden/>
    <w:unhideWhenUsed/>
    <w:qFormat/>
    <w:rsid w:val="00D1452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D14525"/>
    <w:p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D14525"/>
    <w:pPr>
      <w:spacing w:before="240" w:after="60"/>
      <w:outlineLvl w:val="7"/>
    </w:pPr>
    <w:rPr>
      <w:rFonts w:ascii="Calibri" w:hAnsi="Calibri"/>
      <w:i/>
      <w:iCs/>
      <w:szCs w:val="24"/>
    </w:rPr>
  </w:style>
  <w:style w:type="paragraph" w:styleId="Heading9">
    <w:name w:val="heading 9"/>
    <w:basedOn w:val="Normal"/>
    <w:next w:val="Normal"/>
    <w:link w:val="Heading9Char"/>
    <w:qFormat/>
    <w:rsid w:val="007A67ED"/>
    <w:pPr>
      <w:keepNext/>
      <w:outlineLvl w:val="8"/>
    </w:pPr>
    <w:rPr>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A67ED"/>
    <w:rPr>
      <w:rFonts w:ascii="Times New Roman" w:eastAsia="Times New Roman" w:hAnsi="Times New Roman" w:cs="Times New Roman"/>
      <w:b/>
      <w:snapToGrid w:val="0"/>
      <w:szCs w:val="20"/>
    </w:rPr>
  </w:style>
  <w:style w:type="character" w:customStyle="1" w:styleId="Heading2Char">
    <w:name w:val="Heading 2 Char"/>
    <w:link w:val="Heading2"/>
    <w:rsid w:val="007A67ED"/>
    <w:rPr>
      <w:rFonts w:ascii="Times New Roman" w:eastAsia="Times New Roman" w:hAnsi="Times New Roman" w:cs="Times New Roman"/>
      <w:b/>
      <w:snapToGrid w:val="0"/>
      <w:szCs w:val="20"/>
    </w:rPr>
  </w:style>
  <w:style w:type="character" w:customStyle="1" w:styleId="Heading9Char">
    <w:name w:val="Heading 9 Char"/>
    <w:link w:val="Heading9"/>
    <w:rsid w:val="007A67ED"/>
    <w:rPr>
      <w:rFonts w:ascii="Times New Roman" w:eastAsia="Times New Roman" w:hAnsi="Times New Roman" w:cs="Times New Roman"/>
      <w:b/>
      <w:snapToGrid w:val="0"/>
      <w:sz w:val="20"/>
      <w:szCs w:val="20"/>
    </w:rPr>
  </w:style>
  <w:style w:type="character" w:customStyle="1" w:styleId="Heading6Char">
    <w:name w:val="Heading 6 Char"/>
    <w:link w:val="Heading6"/>
    <w:uiPriority w:val="9"/>
    <w:semiHidden/>
    <w:rsid w:val="00D14525"/>
    <w:rPr>
      <w:rFonts w:ascii="Calibri" w:eastAsia="Times New Roman" w:hAnsi="Calibri" w:cs="Times New Roman"/>
      <w:b/>
      <w:bCs/>
      <w:snapToGrid w:val="0"/>
      <w:sz w:val="22"/>
      <w:szCs w:val="22"/>
      <w:lang w:val="en-US" w:eastAsia="en-US"/>
    </w:rPr>
  </w:style>
  <w:style w:type="character" w:customStyle="1" w:styleId="Heading7Char">
    <w:name w:val="Heading 7 Char"/>
    <w:link w:val="Heading7"/>
    <w:uiPriority w:val="9"/>
    <w:semiHidden/>
    <w:rsid w:val="00D14525"/>
    <w:rPr>
      <w:rFonts w:ascii="Calibri" w:eastAsia="Times New Roman" w:hAnsi="Calibri" w:cs="Times New Roman"/>
      <w:snapToGrid w:val="0"/>
      <w:sz w:val="24"/>
      <w:szCs w:val="24"/>
      <w:lang w:val="en-US" w:eastAsia="en-US"/>
    </w:rPr>
  </w:style>
  <w:style w:type="character" w:customStyle="1" w:styleId="Heading8Char">
    <w:name w:val="Heading 8 Char"/>
    <w:link w:val="Heading8"/>
    <w:uiPriority w:val="9"/>
    <w:semiHidden/>
    <w:rsid w:val="00D14525"/>
    <w:rPr>
      <w:rFonts w:ascii="Calibri" w:eastAsia="Times New Roman" w:hAnsi="Calibri" w:cs="Times New Roman"/>
      <w:i/>
      <w:iCs/>
      <w:snapToGrid w:val="0"/>
      <w:sz w:val="24"/>
      <w:szCs w:val="24"/>
      <w:lang w:val="en-US" w:eastAsia="en-US"/>
    </w:rPr>
  </w:style>
  <w:style w:type="paragraph" w:styleId="Footer">
    <w:name w:val="footer"/>
    <w:basedOn w:val="Normal"/>
    <w:link w:val="FooterChar"/>
    <w:rsid w:val="00D14525"/>
    <w:pPr>
      <w:tabs>
        <w:tab w:val="center" w:pos="4320"/>
        <w:tab w:val="right" w:pos="8640"/>
      </w:tabs>
    </w:pPr>
  </w:style>
  <w:style w:type="character" w:customStyle="1" w:styleId="FooterChar">
    <w:name w:val="Footer Char"/>
    <w:link w:val="Footer"/>
    <w:rsid w:val="00D14525"/>
    <w:rPr>
      <w:rFonts w:ascii="Times New Roman" w:eastAsia="Times New Roman" w:hAnsi="Times New Roman"/>
      <w:snapToGrid w:val="0"/>
      <w:sz w:val="24"/>
      <w:lang w:val="en-US" w:eastAsia="en-US"/>
    </w:rPr>
  </w:style>
  <w:style w:type="paragraph" w:styleId="BodyText">
    <w:name w:val="Body Text"/>
    <w:basedOn w:val="Normal"/>
    <w:link w:val="BodyTextChar"/>
    <w:rsid w:val="00D14525"/>
    <w:pPr>
      <w:tabs>
        <w:tab w:val="left" w:pos="-1440"/>
      </w:tabs>
    </w:pPr>
    <w:rPr>
      <w:sz w:val="22"/>
      <w:lang w:val="en-GB"/>
    </w:rPr>
  </w:style>
  <w:style w:type="character" w:customStyle="1" w:styleId="BodyTextChar">
    <w:name w:val="Body Text Char"/>
    <w:link w:val="BodyText"/>
    <w:rsid w:val="00D14525"/>
    <w:rPr>
      <w:rFonts w:ascii="Times New Roman" w:eastAsia="Times New Roman" w:hAnsi="Times New Roman"/>
      <w:snapToGrid w:val="0"/>
      <w:sz w:val="22"/>
      <w:lang w:eastAsia="en-US"/>
    </w:rPr>
  </w:style>
  <w:style w:type="paragraph" w:styleId="BodyText3">
    <w:name w:val="Body Text 3"/>
    <w:basedOn w:val="Normal"/>
    <w:link w:val="BodyText3Char"/>
    <w:rsid w:val="00D14525"/>
    <w:pPr>
      <w:widowControl/>
      <w:jc w:val="both"/>
    </w:pPr>
    <w:rPr>
      <w:snapToGrid/>
      <w:szCs w:val="24"/>
      <w:lang w:val="en-GB"/>
    </w:rPr>
  </w:style>
  <w:style w:type="character" w:customStyle="1" w:styleId="BodyText3Char">
    <w:name w:val="Body Text 3 Char"/>
    <w:link w:val="BodyText3"/>
    <w:rsid w:val="00D14525"/>
    <w:rPr>
      <w:rFonts w:ascii="Times New Roman" w:eastAsia="Times New Roman" w:hAnsi="Times New Roman"/>
      <w:sz w:val="24"/>
      <w:szCs w:val="24"/>
      <w:lang w:eastAsia="en-US"/>
    </w:rPr>
  </w:style>
  <w:style w:type="paragraph" w:styleId="ListParagraph">
    <w:name w:val="List Paragraph"/>
    <w:basedOn w:val="Normal"/>
    <w:uiPriority w:val="34"/>
    <w:qFormat/>
    <w:rsid w:val="00D14525"/>
    <w:pPr>
      <w:ind w:left="720"/>
      <w:contextualSpacing/>
    </w:pPr>
  </w:style>
  <w:style w:type="character" w:styleId="Hyperlink">
    <w:name w:val="Hyperlink"/>
    <w:rsid w:val="00302D65"/>
    <w:rPr>
      <w:color w:val="0000FF"/>
      <w:u w:val="single"/>
    </w:rPr>
  </w:style>
  <w:style w:type="paragraph" w:styleId="Header">
    <w:name w:val="header"/>
    <w:basedOn w:val="Normal"/>
    <w:link w:val="HeaderChar"/>
    <w:uiPriority w:val="99"/>
    <w:unhideWhenUsed/>
    <w:rsid w:val="00C65C2C"/>
    <w:pPr>
      <w:tabs>
        <w:tab w:val="center" w:pos="4513"/>
        <w:tab w:val="right" w:pos="9026"/>
      </w:tabs>
    </w:pPr>
  </w:style>
  <w:style w:type="character" w:customStyle="1" w:styleId="HeaderChar">
    <w:name w:val="Header Char"/>
    <w:link w:val="Header"/>
    <w:uiPriority w:val="99"/>
    <w:rsid w:val="00C65C2C"/>
    <w:rPr>
      <w:rFonts w:ascii="Times New Roman" w:eastAsia="Times New Roman" w:hAnsi="Times New Roman"/>
      <w:snapToGrid w:val="0"/>
      <w:sz w:val="24"/>
      <w:lang w:val="en-US" w:eastAsia="en-US"/>
    </w:rPr>
  </w:style>
  <w:style w:type="paragraph" w:styleId="BalloonText">
    <w:name w:val="Balloon Text"/>
    <w:basedOn w:val="Normal"/>
    <w:link w:val="BalloonTextChar"/>
    <w:uiPriority w:val="99"/>
    <w:semiHidden/>
    <w:unhideWhenUsed/>
    <w:rsid w:val="00C65C2C"/>
    <w:rPr>
      <w:rFonts w:ascii="Tahoma" w:hAnsi="Tahoma" w:cs="Tahoma"/>
      <w:sz w:val="16"/>
      <w:szCs w:val="16"/>
    </w:rPr>
  </w:style>
  <w:style w:type="character" w:customStyle="1" w:styleId="BalloonTextChar">
    <w:name w:val="Balloon Text Char"/>
    <w:link w:val="BalloonText"/>
    <w:uiPriority w:val="99"/>
    <w:semiHidden/>
    <w:rsid w:val="00C65C2C"/>
    <w:rPr>
      <w:rFonts w:ascii="Tahoma" w:eastAsia="Times New Roman" w:hAnsi="Tahoma" w:cs="Tahoma"/>
      <w:snapToGrid w:val="0"/>
      <w:sz w:val="16"/>
      <w:szCs w:val="16"/>
      <w:lang w:val="en-US" w:eastAsia="en-US"/>
    </w:rPr>
  </w:style>
  <w:style w:type="table" w:styleId="TableGrid">
    <w:name w:val="Table Grid"/>
    <w:basedOn w:val="TableNormal"/>
    <w:uiPriority w:val="59"/>
    <w:rsid w:val="00AF3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613958">
      <w:bodyDiv w:val="1"/>
      <w:marLeft w:val="0"/>
      <w:marRight w:val="0"/>
      <w:marTop w:val="0"/>
      <w:marBottom w:val="0"/>
      <w:divBdr>
        <w:top w:val="none" w:sz="0" w:space="0" w:color="auto"/>
        <w:left w:val="none" w:sz="0" w:space="0" w:color="auto"/>
        <w:bottom w:val="none" w:sz="0" w:space="0" w:color="auto"/>
        <w:right w:val="none" w:sz="0" w:space="0" w:color="auto"/>
      </w:divBdr>
    </w:div>
    <w:div w:id="20276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olicy-annex-1-assessment-regulations.pdf?t=1411116004479" TargetMode="External"/><Relationship Id="rId13" Type="http://schemas.openxmlformats.org/officeDocument/2006/relationships/hyperlink" Target="http://portal.solent.ac.uk/documents/academic-services/policies-procedures-guidelines/anonymous-marking-proces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policies-procedures-guidelines/anonymous-marking-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4/4p-extenuating-circumstances-procedures-for-students.pdf?t=1472716668952" TargetMode="External"/><Relationship Id="rId14" Type="http://schemas.openxmlformats.org/officeDocument/2006/relationships/hyperlink" Target="http://portal.solent.ac.uk/documents/academic-services/academic-handbook/section-2/2o-assess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8E01A-973E-4B64-B7B7-A0ADA7D3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9430</CharactersWithSpaces>
  <SharedDoc>false</SharedDoc>
  <HLinks>
    <vt:vector size="48" baseType="variant">
      <vt:variant>
        <vt:i4>4587588</vt:i4>
      </vt:variant>
      <vt:variant>
        <vt:i4>21</vt:i4>
      </vt:variant>
      <vt:variant>
        <vt:i4>0</vt:i4>
      </vt:variant>
      <vt:variant>
        <vt:i4>5</vt:i4>
      </vt:variant>
      <vt:variant>
        <vt:lpwstr>http://docman.solent.ac.uk/DocMan8/OCSFile?RNS=1234576014</vt:lpwstr>
      </vt:variant>
      <vt:variant>
        <vt:lpwstr/>
      </vt:variant>
      <vt:variant>
        <vt:i4>5111885</vt:i4>
      </vt:variant>
      <vt:variant>
        <vt:i4>18</vt:i4>
      </vt:variant>
      <vt:variant>
        <vt:i4>0</vt:i4>
      </vt:variant>
      <vt:variant>
        <vt:i4>5</vt:i4>
      </vt:variant>
      <vt:variant>
        <vt:lpwstr>http://docman.solent.ac.uk/DocMan8/OCSFile?RNS=1234569864</vt:lpwstr>
      </vt:variant>
      <vt:variant>
        <vt:lpwstr/>
      </vt:variant>
      <vt:variant>
        <vt:i4>983114</vt:i4>
      </vt:variant>
      <vt:variant>
        <vt:i4>15</vt:i4>
      </vt:variant>
      <vt:variant>
        <vt:i4>0</vt:i4>
      </vt:variant>
      <vt:variant>
        <vt:i4>5</vt:i4>
      </vt:variant>
      <vt:variant>
        <vt:lpwstr>http://docman.solent.ac.uk/DocMan8/OCSFile?RN=1234574214</vt:lpwstr>
      </vt:variant>
      <vt:variant>
        <vt:lpwstr/>
      </vt:variant>
      <vt:variant>
        <vt:i4>4456518</vt:i4>
      </vt:variant>
      <vt:variant>
        <vt:i4>12</vt:i4>
      </vt:variant>
      <vt:variant>
        <vt:i4>0</vt:i4>
      </vt:variant>
      <vt:variant>
        <vt:i4>5</vt:i4>
      </vt:variant>
      <vt:variant>
        <vt:lpwstr>http://docman.solent.ac.uk/DocMan8/OCSFile?RNS=1234574215</vt:lpwstr>
      </vt:variant>
      <vt:variant>
        <vt:lpwstr/>
      </vt:variant>
      <vt:variant>
        <vt:i4>4456518</vt:i4>
      </vt:variant>
      <vt:variant>
        <vt:i4>9</vt:i4>
      </vt:variant>
      <vt:variant>
        <vt:i4>0</vt:i4>
      </vt:variant>
      <vt:variant>
        <vt:i4>5</vt:i4>
      </vt:variant>
      <vt:variant>
        <vt:lpwstr>http://docman.solent.ac.uk/DocMan8/OCSFile?RNS=1234574213</vt:lpwstr>
      </vt:variant>
      <vt:variant>
        <vt:lpwstr/>
      </vt:variant>
      <vt:variant>
        <vt:i4>4259906</vt:i4>
      </vt:variant>
      <vt:variant>
        <vt:i4>6</vt:i4>
      </vt:variant>
      <vt:variant>
        <vt:i4>0</vt:i4>
      </vt:variant>
      <vt:variant>
        <vt:i4>5</vt:i4>
      </vt:variant>
      <vt:variant>
        <vt:lpwstr>http://docman.solent.ac.uk/DocMan8/OCSFile?RNS=1234569791</vt:lpwstr>
      </vt:variant>
      <vt:variant>
        <vt:lpwstr/>
      </vt:variant>
      <vt:variant>
        <vt:i4>4456517</vt:i4>
      </vt:variant>
      <vt:variant>
        <vt:i4>3</vt:i4>
      </vt:variant>
      <vt:variant>
        <vt:i4>0</vt:i4>
      </vt:variant>
      <vt:variant>
        <vt:i4>5</vt:i4>
      </vt:variant>
      <vt:variant>
        <vt:lpwstr>http://docman.solent.ac.uk/DocMan8/OCSFile?RNS=1234570157</vt:lpwstr>
      </vt:variant>
      <vt:variant>
        <vt:lpwstr/>
      </vt:variant>
      <vt:variant>
        <vt:i4>4390989</vt:i4>
      </vt:variant>
      <vt:variant>
        <vt:i4>0</vt:i4>
      </vt:variant>
      <vt:variant>
        <vt:i4>0</vt:i4>
      </vt:variant>
      <vt:variant>
        <vt:i4>5</vt:i4>
      </vt:variant>
      <vt:variant>
        <vt:lpwstr>http://docman.solent.ac.uk/DocMan8/OCSFile?RNS=1234570925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cp:lastModifiedBy>Brian Dupee</cp:lastModifiedBy>
  <cp:revision>23</cp:revision>
  <cp:lastPrinted>2015-09-03T10:20:00Z</cp:lastPrinted>
  <dcterms:created xsi:type="dcterms:W3CDTF">2015-06-25T16:57:00Z</dcterms:created>
  <dcterms:modified xsi:type="dcterms:W3CDTF">2017-09-04T14:49:00Z</dcterms:modified>
</cp:coreProperties>
</file>