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99F3DA" w14:textId="77777777" w:rsidR="009D2801" w:rsidRPr="009D2801" w:rsidRDefault="009D2801" w:rsidP="009D2801">
      <w:pPr>
        <w:spacing w:line="360" w:lineRule="auto"/>
        <w:ind w:left="433" w:hangingChars="177" w:hanging="433"/>
        <w:rPr>
          <w:rFonts w:ascii="Times New Roman" w:hAnsi="Times New Roman" w:cs="Times New Roman"/>
          <w:b/>
          <w:bCs/>
          <w:sz w:val="24"/>
        </w:rPr>
      </w:pPr>
      <w:r w:rsidRPr="009D2801">
        <w:rPr>
          <w:rFonts w:ascii="Times New Roman" w:hAnsi="Times New Roman" w:cs="Times New Roman"/>
          <w:b/>
          <w:bCs/>
          <w:sz w:val="24"/>
        </w:rPr>
        <w:t>REFERENCES</w:t>
      </w:r>
    </w:p>
    <w:p w14:paraId="4B2CB388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 xml:space="preserve">[1] R. D. </w:t>
      </w:r>
      <w:proofErr w:type="spellStart"/>
      <w:r w:rsidRPr="009D2801">
        <w:rPr>
          <w:rFonts w:ascii="Times New Roman" w:hAnsi="Times New Roman" w:cs="Times New Roman"/>
          <w:sz w:val="24"/>
        </w:rPr>
        <w:t>Aprilian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and I. </w:t>
      </w:r>
      <w:proofErr w:type="spellStart"/>
      <w:r w:rsidRPr="009D2801">
        <w:rPr>
          <w:rFonts w:ascii="Times New Roman" w:hAnsi="Times New Roman" w:cs="Times New Roman"/>
          <w:sz w:val="24"/>
        </w:rPr>
        <w:t>Widiastuti</w:t>
      </w:r>
      <w:proofErr w:type="spellEnd"/>
      <w:r w:rsidRPr="009D2801">
        <w:rPr>
          <w:rFonts w:ascii="Times New Roman" w:hAnsi="Times New Roman" w:cs="Times New Roman"/>
          <w:sz w:val="24"/>
        </w:rPr>
        <w:t>, “The story of adaptive reuse in Jakarta’s old building under the ‘</w:t>
      </w:r>
      <w:proofErr w:type="spellStart"/>
      <w:r w:rsidRPr="009D2801">
        <w:rPr>
          <w:rFonts w:ascii="Times New Roman" w:hAnsi="Times New Roman" w:cs="Times New Roman"/>
          <w:sz w:val="24"/>
        </w:rPr>
        <w:t>instagrammable</w:t>
      </w:r>
      <w:proofErr w:type="spellEnd"/>
      <w:r w:rsidRPr="009D2801">
        <w:rPr>
          <w:rFonts w:ascii="Times New Roman" w:hAnsi="Times New Roman" w:cs="Times New Roman"/>
          <w:sz w:val="24"/>
        </w:rPr>
        <w:t>’ era,” in Proc. 8th Biannual Int. Conf. ARTEPOLIS (ARTEPOLIS 2020</w:t>
      </w:r>
      <w:proofErr w:type="gramStart"/>
      <w:r w:rsidRPr="009D2801">
        <w:rPr>
          <w:rFonts w:ascii="Times New Roman" w:hAnsi="Times New Roman" w:cs="Times New Roman"/>
          <w:sz w:val="24"/>
        </w:rPr>
        <w:t>),</w:t>
      </w:r>
      <w:proofErr w:type="spellStart"/>
      <w:r w:rsidRPr="009D2801">
        <w:rPr>
          <w:rFonts w:ascii="Times New Roman" w:hAnsi="Times New Roman" w:cs="Times New Roman"/>
          <w:sz w:val="24"/>
        </w:rPr>
        <w:t>Bandung</w:t>
      </w:r>
      <w:proofErr w:type="gramEnd"/>
      <w:r w:rsidRPr="009D2801">
        <w:rPr>
          <w:rFonts w:ascii="Times New Roman" w:hAnsi="Times New Roman" w:cs="Times New Roman"/>
          <w:sz w:val="24"/>
        </w:rPr>
        <w:t>,Indonesia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(Online), 2021. [Online]. Available: https://doi.org/10.2991/assehr.k.211126.019</w:t>
      </w:r>
    </w:p>
    <w:p w14:paraId="0CF0513C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 xml:space="preserve">[2] T. L. </w:t>
      </w:r>
      <w:proofErr w:type="spellStart"/>
      <w:r w:rsidRPr="009D2801">
        <w:rPr>
          <w:rFonts w:ascii="Times New Roman" w:hAnsi="Times New Roman" w:cs="Times New Roman"/>
          <w:sz w:val="24"/>
        </w:rPr>
        <w:t>Trolian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and E. A. </w:t>
      </w:r>
      <w:proofErr w:type="spellStart"/>
      <w:r w:rsidRPr="009D2801">
        <w:rPr>
          <w:rFonts w:ascii="Times New Roman" w:hAnsi="Times New Roman" w:cs="Times New Roman"/>
          <w:sz w:val="24"/>
        </w:rPr>
        <w:t>Jach</w:t>
      </w:r>
      <w:proofErr w:type="spellEnd"/>
      <w:r w:rsidRPr="009D2801">
        <w:rPr>
          <w:rFonts w:ascii="Times New Roman" w:hAnsi="Times New Roman" w:cs="Times New Roman"/>
          <w:sz w:val="24"/>
        </w:rPr>
        <w:t>, “Applied learning in higher education: Conclusions and recommendations for institutional leadership,” New Directions for Higher Education, vol. 2019, no. 188, pp. 101–106, 2019.</w:t>
      </w:r>
    </w:p>
    <w:p w14:paraId="7A6922B1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>[3] A. Maheshwari, Y. Jain, and S. S. Chopra, “Spatial inequity index for essential facility access at building-level in highly dense urban areas,” Cities, vol. 149, p. 104926, Jul. 2024. [Online]. Available: https://doi.org/10.1016/j.cities.2024.104926</w:t>
      </w:r>
    </w:p>
    <w:p w14:paraId="2E64CD79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>[4] S. L. Ash and P. H. Clayton, “Generating, deepening, and documenting learning: The power of critical reflection in applied learning,” Journal of Applied Learning in Higher Education, vol. 1, pp. 25–48, Fall 2009.</w:t>
      </w:r>
    </w:p>
    <w:p w14:paraId="6C2B6775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 xml:space="preserve">[5] Z. Cutler, J. Wilburn, H. Shrestha, Y. Ding, B. </w:t>
      </w:r>
      <w:proofErr w:type="spellStart"/>
      <w:r w:rsidRPr="009D2801">
        <w:rPr>
          <w:rFonts w:ascii="Times New Roman" w:hAnsi="Times New Roman" w:cs="Times New Roman"/>
          <w:sz w:val="24"/>
        </w:rPr>
        <w:t>Bollen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, K. A. </w:t>
      </w:r>
      <w:proofErr w:type="spellStart"/>
      <w:r w:rsidRPr="009D2801">
        <w:rPr>
          <w:rFonts w:ascii="Times New Roman" w:hAnsi="Times New Roman" w:cs="Times New Roman"/>
          <w:sz w:val="24"/>
        </w:rPr>
        <w:t>Nadib</w:t>
      </w:r>
      <w:proofErr w:type="spellEnd"/>
      <w:r w:rsidRPr="009D2801">
        <w:rPr>
          <w:rFonts w:ascii="Times New Roman" w:hAnsi="Times New Roman" w:cs="Times New Roman"/>
          <w:sz w:val="24"/>
        </w:rPr>
        <w:t>, T. He, A. McNutt, L. Harrison, and A. Lex, “</w:t>
      </w:r>
      <w:proofErr w:type="spellStart"/>
      <w:r w:rsidRPr="009D2801">
        <w:rPr>
          <w:rFonts w:ascii="Times New Roman" w:hAnsi="Times New Roman" w:cs="Times New Roman"/>
          <w:sz w:val="24"/>
        </w:rPr>
        <w:t>ReVISit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2: A full experiment life cycle user study framework,” in Proc. IEEE VIS 2025, Best Full Papers, Vienna, Austria, Nov. 2025. [Online]. Available: https://ieeevis.org/year/2025/program/paper_ebdd5b65-b5cb-4d4b-bd78-92ff8cc2f243.html</w:t>
      </w:r>
    </w:p>
    <w:p w14:paraId="582CDECD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>[6] H. Wu, S. Zhao, X. Chen, and Y. Wu, “Visual analysis of urban mobility and social media data,” in Proc. IEEE VIS Workshop on Visual Analytics in Science and Technology (VAST), 2019. [Online]. Available: https://pmc.ncbi.nlm.nih.gov/articles/PMC6359619/</w:t>
      </w:r>
    </w:p>
    <w:p w14:paraId="4C6C3C82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>[7] United Nations, The Sustainable Development Goals Report 2023, United Nations, New York, NY, USA, 2023. [Online]. Available: https://unstats.un.org/sdgs/report/2023/</w:t>
      </w:r>
    </w:p>
    <w:p w14:paraId="6F5A1F7D" w14:textId="77777777" w:rsidR="009D2801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  <w:sz w:val="24"/>
        </w:rPr>
      </w:pPr>
      <w:r w:rsidRPr="009D2801">
        <w:rPr>
          <w:rFonts w:ascii="Times New Roman" w:hAnsi="Times New Roman" w:cs="Times New Roman"/>
          <w:sz w:val="24"/>
        </w:rPr>
        <w:t xml:space="preserve">[8] D. </w:t>
      </w:r>
      <w:proofErr w:type="spellStart"/>
      <w:r w:rsidRPr="009D2801">
        <w:rPr>
          <w:rFonts w:ascii="Times New Roman" w:hAnsi="Times New Roman" w:cs="Times New Roman"/>
          <w:sz w:val="24"/>
        </w:rPr>
        <w:t>Aurich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and A. </w:t>
      </w:r>
      <w:proofErr w:type="spellStart"/>
      <w:r w:rsidRPr="009D2801">
        <w:rPr>
          <w:rFonts w:ascii="Times New Roman" w:hAnsi="Times New Roman" w:cs="Times New Roman"/>
          <w:sz w:val="24"/>
        </w:rPr>
        <w:t>Horaniet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2801">
        <w:rPr>
          <w:rFonts w:ascii="Times New Roman" w:hAnsi="Times New Roman" w:cs="Times New Roman"/>
          <w:sz w:val="24"/>
        </w:rPr>
        <w:t>Ibañez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, “How can data visualization support interdisciplinary research? </w:t>
      </w:r>
      <w:proofErr w:type="spellStart"/>
      <w:r w:rsidRPr="009D2801">
        <w:rPr>
          <w:rFonts w:ascii="Times New Roman" w:hAnsi="Times New Roman" w:cs="Times New Roman"/>
          <w:sz w:val="24"/>
        </w:rPr>
        <w:t>LuxTIME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: studying historical </w:t>
      </w:r>
      <w:proofErr w:type="spellStart"/>
      <w:r w:rsidRPr="009D2801">
        <w:rPr>
          <w:rFonts w:ascii="Times New Roman" w:hAnsi="Times New Roman" w:cs="Times New Roman"/>
          <w:sz w:val="24"/>
        </w:rPr>
        <w:t>exposomics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 in </w:t>
      </w:r>
      <w:proofErr w:type="spellStart"/>
      <w:r w:rsidRPr="009D2801">
        <w:rPr>
          <w:rFonts w:ascii="Times New Roman" w:hAnsi="Times New Roman" w:cs="Times New Roman"/>
          <w:sz w:val="24"/>
        </w:rPr>
        <w:t>Belval</w:t>
      </w:r>
      <w:proofErr w:type="spellEnd"/>
      <w:r w:rsidRPr="009D2801">
        <w:rPr>
          <w:rFonts w:ascii="Times New Roman" w:hAnsi="Times New Roman" w:cs="Times New Roman"/>
          <w:sz w:val="24"/>
        </w:rPr>
        <w:t xml:space="preserve">,” </w:t>
      </w:r>
      <w:r w:rsidRPr="009D2801">
        <w:rPr>
          <w:rFonts w:ascii="Times New Roman" w:hAnsi="Times New Roman" w:cs="Times New Roman"/>
          <w:sz w:val="24"/>
        </w:rPr>
        <w:lastRenderedPageBreak/>
        <w:t>Frontiers in Big Data, vol. 6, Art. no. 1164885, 2023.</w:t>
      </w:r>
    </w:p>
    <w:p w14:paraId="0336E6E8" w14:textId="6F76FD90" w:rsidR="0048798F" w:rsidRPr="009D2801" w:rsidRDefault="009D2801" w:rsidP="009D2801">
      <w:pPr>
        <w:spacing w:line="360" w:lineRule="auto"/>
        <w:ind w:left="425" w:hangingChars="177" w:hanging="425"/>
        <w:rPr>
          <w:rFonts w:ascii="Times New Roman" w:hAnsi="Times New Roman" w:cs="Times New Roman"/>
        </w:rPr>
      </w:pPr>
      <w:r w:rsidRPr="009D2801">
        <w:rPr>
          <w:rFonts w:ascii="Times New Roman" w:hAnsi="Times New Roman" w:cs="Times New Roman"/>
          <w:sz w:val="24"/>
        </w:rPr>
        <w:t>[9] E. J. Theobald et al., “Active learning narrows achievement gaps for underrepresented students in undergraduate science, technology, engineering, and math,” Proc. Natl. Acad. Sci. U.S.A., vol. 117, no. 12, pp. 6476–6483, 2020.</w:t>
      </w:r>
    </w:p>
    <w:sectPr w:rsidR="0048798F" w:rsidRPr="009D28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DF9157"/>
    <w:rsid w:val="00235449"/>
    <w:rsid w:val="0048798F"/>
    <w:rsid w:val="009D2801"/>
    <w:rsid w:val="7FDF9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E2FC5DA"/>
  <w15:docId w15:val="{0A7EDE5A-B50A-1042-8969-F390C934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9D2801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D2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1905</Characters>
  <Application>Microsoft Office Word</Application>
  <DocSecurity>0</DocSecurity>
  <Lines>39</Lines>
  <Paragraphs>14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Yov</dc:creator>
  <cp:lastModifiedBy>Yufei Chen</cp:lastModifiedBy>
  <cp:revision>2</cp:revision>
  <dcterms:created xsi:type="dcterms:W3CDTF">2026-03-04T13:25:00Z</dcterms:created>
  <dcterms:modified xsi:type="dcterms:W3CDTF">2026-03-04T13:25:00Z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1F65DE86C72D414F456C8069F9058AAC_41</vt:lpwstr>
  </property>
</Properties>
</file>