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 xml:space="preserve">arrangement of cooking facilities is acceptable. The purpose of this appendix is to provide a quantitative assessment of the location of the cooking facilities on this project to demonstrate that should a cooker fire </w:t>
      </w:r>
      <w:proofErr w:type="gramStart"/>
      <w:r w:rsidR="00BD0D93">
        <w:t>occur,</w:t>
      </w:r>
      <w:proofErr w:type="gramEnd"/>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 xml:space="preserve">solely on the </w:t>
      </w:r>
      <w:proofErr w:type="gramStart"/>
      <w:r w:rsidR="00CD7F07">
        <w:t>period of time</w:t>
      </w:r>
      <w:proofErr w:type="gramEnd"/>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Pan material, </w:t>
            </w:r>
            <w:proofErr w:type="gramStart"/>
            <w:r w:rsidRPr="0099149E">
              <w:rPr>
                <w:rFonts w:ascii="Segoe UI Light" w:hAnsi="Segoe UI Light" w:cs="Segoe UI Light"/>
                <w:b/>
                <w:bCs/>
                <w:sz w:val="18"/>
              </w:rPr>
              <w:t>diameter</w:t>
            </w:r>
            <w:proofErr w:type="gramEnd"/>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 xml:space="preserve">Of these tests, the </w:t>
      </w:r>
      <w:proofErr w:type="spellStart"/>
      <w:r>
        <w:t>Hamins</w:t>
      </w:r>
      <w:proofErr w:type="spellEnd"/>
      <w:r>
        <w:t xml:space="preserve"> et al KSG15</w:t>
      </w:r>
      <w:r w:rsidR="00E16003">
        <w:t xml:space="preserve"> has a much greater heat release rate as the</w:t>
      </w:r>
      <w:r>
        <w:t xml:space="preserve"> test </w:t>
      </w:r>
      <w:r w:rsidR="00E16003">
        <w:t>allowed for the spread of fire to adjacent kitchen surfaces (</w:t>
      </w:r>
      <w:proofErr w:type="gramStart"/>
      <w:r w:rsidR="00E16003">
        <w:t>i.e.</w:t>
      </w:r>
      <w:proofErr w:type="gramEnd"/>
      <w:r w:rsidR="00E16003">
        <w:t xml:space="preserve"> cabinets, extraction hoods). As the flats in question are provided with suppression systems, this is not expected to occur in this instance so this </w:t>
      </w:r>
      <w:r w:rsidR="00557A53">
        <w:t xml:space="preserve">result can be disregarded. </w:t>
      </w:r>
      <w:r w:rsidR="00E0090C" w:rsidRPr="00E0090C">
        <w:t>{% if not HAS_CUSTOM_FIRE_SIZE %}</w:t>
      </w:r>
      <w:r w:rsidR="00E16003">
        <w:t xml:space="preserve"> </w:t>
      </w:r>
      <w:r w:rsidR="006F5961" w:rsidRPr="00E0090C">
        <w:t xml:space="preserve">{% if </w:t>
      </w:r>
      <w:r w:rsidR="006F5961">
        <w:t xml:space="preserve">CHIP_PAN_ALLOWED </w:t>
      </w:r>
      <w:r w:rsidR="006F5961" w:rsidRPr="00E0090C">
        <w:t>%}</w:t>
      </w:r>
    </w:p>
    <w:p w14:paraId="68E21027" w14:textId="7B068AFC"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w:t>
      </w:r>
      <w:proofErr w:type="gramStart"/>
      <w:r w:rsidR="00B768C7">
        <w:t>old fashioned</w:t>
      </w:r>
      <w:proofErr w:type="gramEnd"/>
      <w:r w:rsidR="00B768C7">
        <w:t xml:space="preserve"> chip pan catching fire. Whilst this fire size is considered to be unrepresentative of the majority of </w:t>
      </w:r>
      <w:r w:rsidR="007E58E8">
        <w:t xml:space="preserve">pan fires (most cooking does not take place in an </w:t>
      </w:r>
      <w:proofErr w:type="gramStart"/>
      <w:r w:rsidR="007E58E8">
        <w:t>old fashioned</w:t>
      </w:r>
      <w:proofErr w:type="gramEnd"/>
      <w:r w:rsidR="007E58E8">
        <w:t xml:space="preserve">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w:t>
      </w:r>
      <w:proofErr w:type="spellStart"/>
      <w:r>
        <w:t>Hamins</w:t>
      </w:r>
      <w:proofErr w:type="spellEnd"/>
      <w:r>
        <w:t xml:space="preserve"> et al Test 3, includes for 4000g (4.5L) of cooking oil. This is representative of an </w:t>
      </w:r>
      <w:proofErr w:type="gramStart"/>
      <w:r>
        <w:t>old fashioned</w:t>
      </w:r>
      <w:proofErr w:type="gramEnd"/>
      <w:r>
        <w:t xml:space="preserve">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 xml:space="preserve">For this reason, the next largest result, </w:t>
      </w:r>
      <w:proofErr w:type="spellStart"/>
      <w:r>
        <w:t>Hamins</w:t>
      </w:r>
      <w:proofErr w:type="spellEnd"/>
      <w:r>
        <w:t xml:space="preserve">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0D0C477E"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w:t>
      </w:r>
      <w:proofErr w:type="gramStart"/>
      <w:r w:rsidRPr="0099149E">
        <w:t>i.e.</w:t>
      </w:r>
      <w:proofErr w:type="gramEnd"/>
      <w:r w:rsidRPr="0099149E">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commentRangeStart w:id="12"/>
      <w:r w:rsidRPr="0099149E">
        <w:t>472/3 = 158kW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667B26A9" w14:textId="17FB9789" w:rsidR="00630CB8" w:rsidRDefault="009C0603" w:rsidP="00D569E6">
      <w:pPr>
        <w:pStyle w:val="AppendixText"/>
      </w:pPr>
      <w:commentRangeStart w:id="14"/>
      <w:r>
        <w:t xml:space="preserve">It is assumed that the occupants walk at a speed of 1.2m/s, as per CIBSE Guide E and BS </w:t>
      </w:r>
      <w:proofErr w:type="gramStart"/>
      <w:r>
        <w:t>7974:PD</w:t>
      </w:r>
      <w:proofErr w:type="gramEnd"/>
      <w:r>
        <w:t xml:space="preserve">6. </w:t>
      </w:r>
      <w:commentRangeEnd w:id="14"/>
      <w:r w:rsidR="00124A62">
        <w:rPr>
          <w:rStyle w:val="CommentReference"/>
          <w:rFonts w:asciiTheme="minorHAnsi" w:hAnsiTheme="minorHAnsi" w:cstheme="minorBidi"/>
          <w:color w:val="auto"/>
        </w:rPr>
        <w:commentReference w:id="14"/>
      </w:r>
    </w:p>
    <w:p w14:paraId="25CF301B" w14:textId="1E903D58" w:rsidR="00124A62" w:rsidRDefault="00124A62" w:rsidP="00D569E6">
      <w:pPr>
        <w:pStyle w:val="AppendixText"/>
      </w:pPr>
      <w:commentRangeStart w:id="15"/>
      <w:r>
        <w:lastRenderedPageBreak/>
        <w:t xml:space="preserve">Given that escape could occur at a time when visibility within the compartment has been reduced, a walking speed of 0.3m/s has been adopted, as per Table I.1 of BS 7974 for escape in low visibility conditions. </w:t>
      </w:r>
      <w:commentRangeEnd w:id="15"/>
      <w:r>
        <w:rPr>
          <w:rStyle w:val="CommentReference"/>
          <w:rFonts w:asciiTheme="minorHAnsi" w:hAnsiTheme="minorHAnsi" w:cstheme="minorBidi"/>
          <w:color w:val="auto"/>
        </w:rPr>
        <w:commentReference w:id="15"/>
      </w:r>
    </w:p>
    <w:p w14:paraId="4A71E3BB" w14:textId="7AF64EE2" w:rsidR="00124A62" w:rsidRPr="00124A62" w:rsidRDefault="00124A62" w:rsidP="00124A62">
      <w:pPr>
        <w:pStyle w:val="AppendixText"/>
        <w:rPr>
          <w:b/>
          <w:bCs/>
          <w:color w:val="FF0000"/>
        </w:rPr>
      </w:pPr>
      <w:commentRangeStart w:id="16"/>
      <w:r w:rsidRPr="00124A62">
        <w:rPr>
          <w:b/>
          <w:bCs/>
          <w:color w:val="FF0000"/>
        </w:rPr>
        <w:t xml:space="preserve">Insert a justification for the </w:t>
      </w:r>
      <w:r>
        <w:rPr>
          <w:b/>
          <w:bCs/>
          <w:color w:val="FF0000"/>
        </w:rPr>
        <w:t>travel speed</w:t>
      </w:r>
      <w:r w:rsidRPr="00124A62">
        <w:rPr>
          <w:b/>
          <w:bCs/>
          <w:color w:val="FF0000"/>
        </w:rPr>
        <w:t xml:space="preserve"> adopted. </w:t>
      </w:r>
      <w:commentRangeEnd w:id="16"/>
      <w:r>
        <w:rPr>
          <w:rStyle w:val="CommentReference"/>
          <w:rFonts w:asciiTheme="minorHAnsi" w:hAnsiTheme="minorHAnsi" w:cstheme="minorBidi"/>
          <w:color w:val="auto"/>
        </w:rPr>
        <w:commentReference w:id="16"/>
      </w:r>
    </w:p>
    <w:p w14:paraId="691B221B" w14:textId="1A3DA6E1" w:rsidR="009C0603" w:rsidRDefault="009C0603" w:rsidP="00D569E6">
      <w:pPr>
        <w:pStyle w:val="AppendixText"/>
      </w:pPr>
      <w:r>
        <w:t xml:space="preserve">When drawing the escape route, it is assumed that an occupant is 0.5m wide, which is the mean value for U.S adults given on page 2837 of the SFPE handbook. </w:t>
      </w:r>
    </w:p>
    <w:p w14:paraId="7654C575" w14:textId="3B529917" w:rsidR="00976EC7" w:rsidRDefault="00976EC7" w:rsidP="00D569E6">
      <w:pPr>
        <w:pStyle w:val="AppendixText"/>
      </w:pPr>
      <w:commentRangeStart w:id="17"/>
      <w:r>
        <w:t>The time taken for an occupant to open a door and escape through is taken to be 11 seconds. This is the 95</w:t>
      </w:r>
      <w:r w:rsidRPr="00976EC7">
        <w:rPr>
          <w:vertAlign w:val="superscript"/>
        </w:rPr>
        <w:t>th</w:t>
      </w:r>
      <w:r>
        <w:t xml:space="preserve"> percentile value for “All Apartments” taken from Table 2 of “Estimating Door Open Time Distributions for Occupants Escaping from Apartments” by Hopkin et al. This figure </w:t>
      </w:r>
      <w:proofErr w:type="gramStart"/>
      <w:r>
        <w:t>is considered to be</w:t>
      </w:r>
      <w:proofErr w:type="gramEnd"/>
      <w:r>
        <w:t xml:space="preserve"> sufficiently onerous to account for all eventualities.</w:t>
      </w:r>
      <w:commentRangeEnd w:id="17"/>
      <w:r>
        <w:rPr>
          <w:rStyle w:val="CommentReference"/>
          <w:rFonts w:asciiTheme="minorHAnsi" w:hAnsiTheme="minorHAnsi" w:cstheme="minorBidi"/>
          <w:color w:val="auto"/>
        </w:rPr>
        <w:commentReference w:id="17"/>
      </w:r>
    </w:p>
    <w:p w14:paraId="0DB8B3A3" w14:textId="2EE20C1F" w:rsidR="00976EC7" w:rsidRDefault="00976EC7" w:rsidP="00D569E6">
      <w:pPr>
        <w:pStyle w:val="AppendixText"/>
        <w:rPr>
          <w:b/>
          <w:bCs/>
          <w:color w:val="FF0000"/>
        </w:rPr>
      </w:pPr>
      <w:commentRangeStart w:id="18"/>
      <w:r w:rsidRPr="00976EC7">
        <w:rPr>
          <w:b/>
          <w:bCs/>
          <w:color w:val="FF0000"/>
        </w:rPr>
        <w:t>Insert a justification for door opening time used.</w:t>
      </w:r>
      <w:commentRangeEnd w:id="18"/>
      <w:r>
        <w:rPr>
          <w:rStyle w:val="CommentReference"/>
          <w:rFonts w:asciiTheme="minorHAnsi" w:hAnsiTheme="minorHAnsi" w:cstheme="minorBidi"/>
          <w:color w:val="auto"/>
        </w:rPr>
        <w:commentReference w:id="18"/>
      </w:r>
    </w:p>
    <w:p w14:paraId="2CBFB4CE" w14:textId="53F21888" w:rsidR="003A2809" w:rsidRPr="003A2809" w:rsidRDefault="003A2809" w:rsidP="00D569E6">
      <w:pPr>
        <w:pStyle w:val="AppendixText"/>
      </w:pPr>
      <w:commentRangeStart w:id="19"/>
      <w:r w:rsidRPr="003A2809">
        <w:t>It is assumed that the occupant receives a radiative heat dose for the entire time they are escaping through the door.</w:t>
      </w:r>
      <w:commentRangeEnd w:id="19"/>
      <w:r>
        <w:rPr>
          <w:rStyle w:val="CommentReference"/>
          <w:rFonts w:asciiTheme="minorHAnsi" w:hAnsiTheme="minorHAnsi" w:cstheme="minorBidi"/>
          <w:color w:val="auto"/>
        </w:rPr>
        <w:commentReference w:id="19"/>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0"/>
      <w:commentRangeStart w:id="21"/>
      <w:r>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0"/>
      <w:r>
        <w:rPr>
          <w:rStyle w:val="CommentReference"/>
          <w:rFonts w:asciiTheme="minorHAnsi" w:hAnsiTheme="minorHAnsi" w:cstheme="minorBidi"/>
          <w:color w:val="auto"/>
        </w:rPr>
        <w:commentReference w:id="20"/>
      </w:r>
      <w:commentRangeEnd w:id="21"/>
      <w:r w:rsidR="00976EC7">
        <w:rPr>
          <w:rStyle w:val="CommentReference"/>
          <w:rFonts w:asciiTheme="minorHAnsi" w:hAnsiTheme="minorHAnsi" w:cstheme="minorBidi"/>
          <w:color w:val="auto"/>
        </w:rPr>
        <w:commentReference w:id="21"/>
      </w:r>
    </w:p>
    <w:p w14:paraId="5173B369" w14:textId="77777777" w:rsidR="00124A62" w:rsidRDefault="00124A62" w:rsidP="00124A62">
      <w:pPr>
        <w:pStyle w:val="figuretabletitle"/>
        <w:spacing w:before="240"/>
      </w:pPr>
      <w:bookmarkStart w:id="22" w:name="_Ref139462755"/>
      <w:r>
        <w:t xml:space="preserve">Figure </w:t>
      </w:r>
      <w:r>
        <w:fldChar w:fldCharType="begin"/>
      </w:r>
      <w:r>
        <w:instrText xml:space="preserve"> SEQ Figure \* ARABIC </w:instrText>
      </w:r>
      <w:r>
        <w:fldChar w:fldCharType="separate"/>
      </w:r>
      <w:r>
        <w:rPr>
          <w:noProof/>
        </w:rPr>
        <w:t>2</w:t>
      </w:r>
      <w:r>
        <w:fldChar w:fldCharType="end"/>
      </w:r>
      <w:bookmarkEnd w:id="22"/>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09495A">
        <w:trPr>
          <w:trHeight w:val="862"/>
        </w:trPr>
        <w:tc>
          <w:tcPr>
            <w:tcW w:w="1485"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85"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85"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85"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87"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 xml:space="preserve">FED Contribution </w:t>
            </w:r>
            <w:proofErr w:type="gramStart"/>
            <w:r w:rsidRPr="00E3233A">
              <w:rPr>
                <w:rFonts w:ascii="Segoe UI Light" w:hAnsi="Segoe UI Light" w:cs="Segoe UI Light"/>
                <w:b/>
                <w:bCs w:val="0"/>
                <w:color w:val="000000"/>
                <w:sz w:val="18"/>
                <w:szCs w:val="18"/>
              </w:rPr>
              <w:t>From</w:t>
            </w:r>
            <w:proofErr w:type="gramEnd"/>
            <w:r w:rsidRPr="00E3233A">
              <w:rPr>
                <w:rFonts w:ascii="Segoe UI Light" w:hAnsi="Segoe UI Light" w:cs="Segoe UI Light"/>
                <w:b/>
                <w:bCs w:val="0"/>
                <w:color w:val="000000"/>
                <w:sz w:val="18"/>
                <w:szCs w:val="18"/>
              </w:rPr>
              <w:t xml:space="preserve"> Time Step</w:t>
            </w:r>
          </w:p>
        </w:tc>
        <w:tc>
          <w:tcPr>
            <w:tcW w:w="1487"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09495A">
        <w:trPr>
          <w:trHeight w:val="316"/>
        </w:trPr>
        <w:tc>
          <w:tcPr>
            <w:tcW w:w="1485" w:type="dxa"/>
            <w:tcBorders>
              <w:top w:val="single" w:sz="12" w:space="0" w:color="2F5496" w:themeColor="accent1" w:themeShade="BF"/>
            </w:tcBorders>
            <w:vAlign w:val="bottom"/>
          </w:tcPr>
          <w:p w14:paraId="196F2F7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597CF33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5" w:type="dxa"/>
            <w:tcBorders>
              <w:top w:val="single" w:sz="12" w:space="0" w:color="2F5496" w:themeColor="accent1" w:themeShade="BF"/>
            </w:tcBorders>
            <w:vAlign w:val="bottom"/>
          </w:tcPr>
          <w:p w14:paraId="298BA9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85" w:type="dxa"/>
            <w:tcBorders>
              <w:top w:val="single" w:sz="12" w:space="0" w:color="2F5496" w:themeColor="accent1" w:themeShade="BF"/>
            </w:tcBorders>
            <w:vAlign w:val="bottom"/>
          </w:tcPr>
          <w:p w14:paraId="6DED8F4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4D9E9A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87" w:type="dxa"/>
            <w:tcBorders>
              <w:top w:val="single" w:sz="12" w:space="0" w:color="2F5496" w:themeColor="accent1" w:themeShade="BF"/>
            </w:tcBorders>
            <w:vAlign w:val="bottom"/>
          </w:tcPr>
          <w:p w14:paraId="58ABDF7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124A62" w14:paraId="31381C97" w14:textId="77777777" w:rsidTr="0009495A">
        <w:trPr>
          <w:trHeight w:val="316"/>
        </w:trPr>
        <w:tc>
          <w:tcPr>
            <w:tcW w:w="1485" w:type="dxa"/>
            <w:vAlign w:val="bottom"/>
          </w:tcPr>
          <w:p w14:paraId="5737015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85" w:type="dxa"/>
            <w:vAlign w:val="bottom"/>
          </w:tcPr>
          <w:p w14:paraId="743AC4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85" w:type="dxa"/>
            <w:vAlign w:val="bottom"/>
          </w:tcPr>
          <w:p w14:paraId="0D8EDD2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85" w:type="dxa"/>
            <w:vAlign w:val="bottom"/>
          </w:tcPr>
          <w:p w14:paraId="3CC5BF6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87" w:type="dxa"/>
            <w:vAlign w:val="bottom"/>
          </w:tcPr>
          <w:p w14:paraId="094CEE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487" w:type="dxa"/>
            <w:vAlign w:val="bottom"/>
          </w:tcPr>
          <w:p w14:paraId="6757DFF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124A62" w14:paraId="28DEB6CA" w14:textId="77777777" w:rsidTr="0009495A">
        <w:trPr>
          <w:trHeight w:val="316"/>
        </w:trPr>
        <w:tc>
          <w:tcPr>
            <w:tcW w:w="1485" w:type="dxa"/>
            <w:vAlign w:val="bottom"/>
          </w:tcPr>
          <w:p w14:paraId="50AD8B1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85" w:type="dxa"/>
            <w:vAlign w:val="bottom"/>
          </w:tcPr>
          <w:p w14:paraId="2CBEFB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85" w:type="dxa"/>
            <w:vAlign w:val="bottom"/>
          </w:tcPr>
          <w:p w14:paraId="35D3A0D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85" w:type="dxa"/>
            <w:vAlign w:val="bottom"/>
          </w:tcPr>
          <w:p w14:paraId="12CF427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87" w:type="dxa"/>
            <w:vAlign w:val="bottom"/>
          </w:tcPr>
          <w:p w14:paraId="34356C3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487" w:type="dxa"/>
            <w:vAlign w:val="bottom"/>
          </w:tcPr>
          <w:p w14:paraId="0085D23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124A62" w14:paraId="73C681C3" w14:textId="77777777" w:rsidTr="0009495A">
        <w:trPr>
          <w:trHeight w:val="316"/>
        </w:trPr>
        <w:tc>
          <w:tcPr>
            <w:tcW w:w="1485" w:type="dxa"/>
            <w:vAlign w:val="bottom"/>
          </w:tcPr>
          <w:p w14:paraId="0317345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85" w:type="dxa"/>
            <w:vAlign w:val="bottom"/>
          </w:tcPr>
          <w:p w14:paraId="2C3E80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85" w:type="dxa"/>
            <w:vAlign w:val="bottom"/>
          </w:tcPr>
          <w:p w14:paraId="74CBB6C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85" w:type="dxa"/>
            <w:vAlign w:val="bottom"/>
          </w:tcPr>
          <w:p w14:paraId="463042C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87" w:type="dxa"/>
            <w:vAlign w:val="bottom"/>
          </w:tcPr>
          <w:p w14:paraId="447FAB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487" w:type="dxa"/>
            <w:vAlign w:val="bottom"/>
          </w:tcPr>
          <w:p w14:paraId="70EDF46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124A62" w14:paraId="073BD28D" w14:textId="77777777" w:rsidTr="0009495A">
        <w:trPr>
          <w:trHeight w:val="316"/>
        </w:trPr>
        <w:tc>
          <w:tcPr>
            <w:tcW w:w="1485" w:type="dxa"/>
            <w:vAlign w:val="bottom"/>
          </w:tcPr>
          <w:p w14:paraId="216D0E6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85" w:type="dxa"/>
            <w:vAlign w:val="bottom"/>
          </w:tcPr>
          <w:p w14:paraId="6FCE42E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85" w:type="dxa"/>
            <w:vAlign w:val="bottom"/>
          </w:tcPr>
          <w:p w14:paraId="56EAA98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85" w:type="dxa"/>
            <w:vAlign w:val="bottom"/>
          </w:tcPr>
          <w:p w14:paraId="0376B70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87" w:type="dxa"/>
            <w:vAlign w:val="bottom"/>
          </w:tcPr>
          <w:p w14:paraId="7C583B3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487" w:type="dxa"/>
            <w:vAlign w:val="bottom"/>
          </w:tcPr>
          <w:p w14:paraId="5FE5A01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124A62" w14:paraId="012BBE22" w14:textId="77777777" w:rsidTr="0009495A">
        <w:trPr>
          <w:trHeight w:val="316"/>
        </w:trPr>
        <w:tc>
          <w:tcPr>
            <w:tcW w:w="1485" w:type="dxa"/>
            <w:vAlign w:val="bottom"/>
          </w:tcPr>
          <w:p w14:paraId="1D091B2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85" w:type="dxa"/>
            <w:vAlign w:val="bottom"/>
          </w:tcPr>
          <w:p w14:paraId="016470C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85" w:type="dxa"/>
            <w:vAlign w:val="bottom"/>
          </w:tcPr>
          <w:p w14:paraId="05475D8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85" w:type="dxa"/>
            <w:vAlign w:val="bottom"/>
          </w:tcPr>
          <w:p w14:paraId="1DDCF39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87" w:type="dxa"/>
            <w:vAlign w:val="bottom"/>
          </w:tcPr>
          <w:p w14:paraId="4078E4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487" w:type="dxa"/>
            <w:vAlign w:val="bottom"/>
          </w:tcPr>
          <w:p w14:paraId="78F59A42"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124A62" w14:paraId="775F2FD4" w14:textId="77777777" w:rsidTr="0009495A">
        <w:trPr>
          <w:trHeight w:val="316"/>
        </w:trPr>
        <w:tc>
          <w:tcPr>
            <w:tcW w:w="1485" w:type="dxa"/>
            <w:vAlign w:val="bottom"/>
          </w:tcPr>
          <w:p w14:paraId="0629BE0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85" w:type="dxa"/>
            <w:vAlign w:val="bottom"/>
          </w:tcPr>
          <w:p w14:paraId="0A6CA5D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85" w:type="dxa"/>
            <w:vAlign w:val="bottom"/>
          </w:tcPr>
          <w:p w14:paraId="0522A8B1"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85" w:type="dxa"/>
            <w:vAlign w:val="bottom"/>
          </w:tcPr>
          <w:p w14:paraId="1DAE4D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87" w:type="dxa"/>
            <w:vAlign w:val="bottom"/>
          </w:tcPr>
          <w:p w14:paraId="42DB14F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487" w:type="dxa"/>
            <w:vAlign w:val="bottom"/>
          </w:tcPr>
          <w:p w14:paraId="69BF9FB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124A62" w14:paraId="7915719B" w14:textId="77777777" w:rsidTr="0009495A">
        <w:trPr>
          <w:trHeight w:val="316"/>
        </w:trPr>
        <w:tc>
          <w:tcPr>
            <w:tcW w:w="1485" w:type="dxa"/>
            <w:vAlign w:val="bottom"/>
          </w:tcPr>
          <w:p w14:paraId="19BADDF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85" w:type="dxa"/>
            <w:vAlign w:val="bottom"/>
          </w:tcPr>
          <w:p w14:paraId="30E3040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85" w:type="dxa"/>
            <w:vAlign w:val="bottom"/>
          </w:tcPr>
          <w:p w14:paraId="101F826D"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85" w:type="dxa"/>
            <w:vAlign w:val="bottom"/>
          </w:tcPr>
          <w:p w14:paraId="23DB544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87" w:type="dxa"/>
            <w:vAlign w:val="bottom"/>
          </w:tcPr>
          <w:p w14:paraId="303E23D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487" w:type="dxa"/>
            <w:vAlign w:val="bottom"/>
          </w:tcPr>
          <w:p w14:paraId="5AF160A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124A62" w14:paraId="1B0D10F4" w14:textId="77777777" w:rsidTr="0009495A">
        <w:trPr>
          <w:trHeight w:val="316"/>
        </w:trPr>
        <w:tc>
          <w:tcPr>
            <w:tcW w:w="1485" w:type="dxa"/>
            <w:vAlign w:val="bottom"/>
          </w:tcPr>
          <w:p w14:paraId="46B43514"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85" w:type="dxa"/>
            <w:vAlign w:val="bottom"/>
          </w:tcPr>
          <w:p w14:paraId="0A651E2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85" w:type="dxa"/>
            <w:vAlign w:val="bottom"/>
          </w:tcPr>
          <w:p w14:paraId="6442887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85" w:type="dxa"/>
            <w:vAlign w:val="bottom"/>
          </w:tcPr>
          <w:p w14:paraId="677B512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87" w:type="dxa"/>
            <w:vAlign w:val="bottom"/>
          </w:tcPr>
          <w:p w14:paraId="00E5C115"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487" w:type="dxa"/>
            <w:vAlign w:val="bottom"/>
          </w:tcPr>
          <w:p w14:paraId="092CE9A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124A62" w14:paraId="74BF1D10" w14:textId="77777777" w:rsidTr="0009495A">
        <w:trPr>
          <w:trHeight w:val="316"/>
        </w:trPr>
        <w:tc>
          <w:tcPr>
            <w:tcW w:w="1485" w:type="dxa"/>
            <w:vAlign w:val="bottom"/>
          </w:tcPr>
          <w:p w14:paraId="5F5018B9"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85" w:type="dxa"/>
            <w:vAlign w:val="bottom"/>
          </w:tcPr>
          <w:p w14:paraId="1ED15C9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85" w:type="dxa"/>
            <w:vAlign w:val="bottom"/>
          </w:tcPr>
          <w:p w14:paraId="60DAEEA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85" w:type="dxa"/>
            <w:vAlign w:val="bottom"/>
          </w:tcPr>
          <w:p w14:paraId="4A02E4B8"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87" w:type="dxa"/>
            <w:vAlign w:val="bottom"/>
          </w:tcPr>
          <w:p w14:paraId="6C0D556F"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487" w:type="dxa"/>
            <w:vAlign w:val="bottom"/>
          </w:tcPr>
          <w:p w14:paraId="569387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124A62" w14:paraId="3974448D" w14:textId="77777777" w:rsidTr="0009495A">
        <w:trPr>
          <w:trHeight w:val="316"/>
        </w:trPr>
        <w:tc>
          <w:tcPr>
            <w:tcW w:w="1485" w:type="dxa"/>
            <w:vAlign w:val="bottom"/>
          </w:tcPr>
          <w:p w14:paraId="62CADF0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85" w:type="dxa"/>
            <w:vAlign w:val="bottom"/>
          </w:tcPr>
          <w:p w14:paraId="1BDBF9D3"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85" w:type="dxa"/>
            <w:vAlign w:val="bottom"/>
          </w:tcPr>
          <w:p w14:paraId="610BD00B"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85" w:type="dxa"/>
            <w:vAlign w:val="bottom"/>
          </w:tcPr>
          <w:p w14:paraId="1D391F4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87" w:type="dxa"/>
            <w:vAlign w:val="bottom"/>
          </w:tcPr>
          <w:p w14:paraId="33717BC6"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487" w:type="dxa"/>
            <w:vAlign w:val="bottom"/>
          </w:tcPr>
          <w:p w14:paraId="23A62F60"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124A62" w14:paraId="6F776AD1" w14:textId="77777777" w:rsidTr="0009495A">
        <w:trPr>
          <w:trHeight w:val="316"/>
        </w:trPr>
        <w:tc>
          <w:tcPr>
            <w:tcW w:w="1485" w:type="dxa"/>
            <w:vAlign w:val="bottom"/>
          </w:tcPr>
          <w:p w14:paraId="3C76A46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commentRangeStart w:id="23"/>
            <w:commentRangeStart w:id="24"/>
            <w:r w:rsidRPr="00D313AB">
              <w:rPr>
                <w:rFonts w:ascii="Segoe UI Light" w:hAnsi="Segoe UI Light" w:cs="Segoe UI Light"/>
                <w:color w:val="000000"/>
                <w:sz w:val="18"/>
                <w:szCs w:val="18"/>
              </w:rPr>
              <w:t>10.54</w:t>
            </w:r>
          </w:p>
        </w:tc>
        <w:tc>
          <w:tcPr>
            <w:tcW w:w="1485" w:type="dxa"/>
            <w:vAlign w:val="bottom"/>
          </w:tcPr>
          <w:p w14:paraId="2E8E9CDA"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85" w:type="dxa"/>
            <w:vAlign w:val="bottom"/>
          </w:tcPr>
          <w:p w14:paraId="302413F7"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85" w:type="dxa"/>
            <w:vAlign w:val="bottom"/>
          </w:tcPr>
          <w:p w14:paraId="731EAA1E"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87" w:type="dxa"/>
            <w:vAlign w:val="bottom"/>
          </w:tcPr>
          <w:p w14:paraId="7A71345C" w14:textId="77777777" w:rsidR="00124A62" w:rsidRPr="00D313AB" w:rsidRDefault="00124A62" w:rsidP="0009495A">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487" w:type="dxa"/>
            <w:vAlign w:val="bottom"/>
          </w:tcPr>
          <w:p w14:paraId="63F2AA2D" w14:textId="77777777" w:rsidR="00124A62" w:rsidRPr="00D313AB" w:rsidRDefault="00124A62" w:rsidP="0009495A">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3"/>
            <w:r>
              <w:rPr>
                <w:rStyle w:val="CommentReference"/>
                <w:rFonts w:asciiTheme="minorHAnsi" w:eastAsiaTheme="minorHAnsi" w:hAnsiTheme="minorHAnsi" w:cstheme="minorBidi"/>
                <w:bCs w:val="0"/>
                <w:iCs w:val="0"/>
                <w:color w:val="auto"/>
                <w:lang w:eastAsia="en-US"/>
              </w:rPr>
              <w:commentReference w:id="23"/>
            </w:r>
            <w:r w:rsidR="00976EC7">
              <w:rPr>
                <w:rStyle w:val="CommentReference"/>
                <w:rFonts w:asciiTheme="minorHAnsi" w:eastAsiaTheme="minorHAnsi" w:hAnsiTheme="minorHAnsi" w:cstheme="minorBidi"/>
                <w:bCs w:val="0"/>
                <w:iCs w:val="0"/>
                <w:color w:val="auto"/>
                <w:lang w:eastAsia="en-US"/>
              </w:rPr>
              <w:commentReference w:id="24"/>
            </w:r>
          </w:p>
        </w:tc>
      </w:tr>
    </w:tbl>
    <w:p w14:paraId="5349D866" w14:textId="77777777" w:rsidR="00124A62" w:rsidRPr="00FF3825" w:rsidRDefault="00124A62" w:rsidP="00124A62">
      <w:pPr>
        <w:pStyle w:val="figuretabletitle"/>
        <w:spacing w:before="240"/>
      </w:pPr>
      <w:bookmarkStart w:id="25" w:name="_Ref139463101"/>
      <w:commentRangeEnd w:id="24"/>
      <w:r>
        <w:t xml:space="preserve">Table </w:t>
      </w:r>
      <w:r>
        <w:fldChar w:fldCharType="begin"/>
      </w:r>
      <w:r>
        <w:instrText xml:space="preserve"> SEQ Table \* ARABIC </w:instrText>
      </w:r>
      <w:r>
        <w:fldChar w:fldCharType="separate"/>
      </w:r>
      <w:r>
        <w:rPr>
          <w:noProof/>
        </w:rPr>
        <w:t>2</w:t>
      </w:r>
      <w:r>
        <w:fldChar w:fldCharType="end"/>
      </w:r>
      <w:bookmarkEnd w:id="25"/>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7777777" w:rsidR="00124A62" w:rsidRDefault="00124A62" w:rsidP="00124A62">
      <w:pPr>
        <w:pStyle w:val="AppendixText"/>
      </w:pPr>
      <w:commentRangeStart w:id="26"/>
      <w:r>
        <w:t xml:space="preserve">It can be seen from the results that under “reasonable worst case” conditions, the maximum FED an occupant could be expected to receive is 0.674. As this is less than “1”, this can </w:t>
      </w:r>
      <w:proofErr w:type="gramStart"/>
      <w:r>
        <w:t>be considered to be</w:t>
      </w:r>
      <w:proofErr w:type="gramEnd"/>
      <w:r>
        <w:t xml:space="preserve"> an acceptable dose of radiative heat. The factor of safety in this result </w:t>
      </w:r>
      <w:proofErr w:type="gramStart"/>
      <w:r>
        <w:t>is considered to be</w:t>
      </w:r>
      <w:proofErr w:type="gramEnd"/>
      <w:r>
        <w:t xml:space="preserve"> sufficiently large to allow for any uncertainties in the inputs. </w:t>
      </w:r>
    </w:p>
    <w:p w14:paraId="438903CD" w14:textId="3C445B03"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6"/>
      <w:r w:rsidR="00976EC7">
        <w:rPr>
          <w:rStyle w:val="CommentReference"/>
          <w:rFonts w:asciiTheme="minorHAnsi" w:hAnsiTheme="minorHAnsi" w:cstheme="minorBidi"/>
          <w:color w:val="auto"/>
        </w:rPr>
        <w:commentReference w:id="26"/>
      </w:r>
    </w:p>
    <w:p w14:paraId="0544B17C" w14:textId="7295542C" w:rsidR="00C05563" w:rsidRPr="00976EC7" w:rsidRDefault="00976EC7" w:rsidP="00EE5AE9">
      <w:pPr>
        <w:pStyle w:val="AppendixText"/>
      </w:pPr>
      <w:commentRangeStart w:id="27"/>
      <w:r w:rsidRPr="00976EC7">
        <w:rPr>
          <w:b/>
          <w:color w:val="FF0000"/>
        </w:rPr>
        <w:t xml:space="preserve">FED&gt;1. Revise parameters and try again. </w:t>
      </w:r>
      <w:commentRangeEnd w:id="27"/>
      <w:r>
        <w:rPr>
          <w:rStyle w:val="CommentReference"/>
          <w:rFonts w:asciiTheme="minorHAnsi" w:hAnsiTheme="minorHAnsi" w:cstheme="minorBidi"/>
          <w:color w:val="auto"/>
        </w:rPr>
        <w:commentReference w:id="27"/>
      </w:r>
      <w:bookmarkEnd w:id="0"/>
      <w:bookmarkEnd w:id="1"/>
      <w:bookmarkEnd w:id="2"/>
      <w:bookmarkEnd w:id="3"/>
      <w:bookmarkEnd w:id="4"/>
      <w:bookmarkEnd w:id="5"/>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7"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8"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19"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0"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1"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3"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4"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6"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7"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45AE5" w14:textId="77777777" w:rsidR="00455436" w:rsidRDefault="00455436" w:rsidP="00D03678">
      <w:pPr>
        <w:spacing w:after="0" w:line="240" w:lineRule="auto"/>
      </w:pPr>
      <w:r>
        <w:separator/>
      </w:r>
    </w:p>
    <w:p w14:paraId="5C3FCEF1" w14:textId="77777777" w:rsidR="00455436" w:rsidRDefault="00455436"/>
  </w:endnote>
  <w:endnote w:type="continuationSeparator" w:id="0">
    <w:p w14:paraId="7F6A3CB5" w14:textId="77777777" w:rsidR="00455436" w:rsidRDefault="00455436" w:rsidP="00D03678">
      <w:pPr>
        <w:spacing w:after="0" w:line="240" w:lineRule="auto"/>
      </w:pPr>
      <w:r>
        <w:continuationSeparator/>
      </w:r>
    </w:p>
    <w:p w14:paraId="29A7E6A3" w14:textId="77777777" w:rsidR="00455436" w:rsidRDefault="00455436"/>
  </w:endnote>
  <w:endnote w:type="continuationNotice" w:id="1">
    <w:p w14:paraId="43245300" w14:textId="77777777" w:rsidR="00455436" w:rsidRDefault="00455436">
      <w:pPr>
        <w:spacing w:after="0" w:line="240" w:lineRule="auto"/>
      </w:pPr>
    </w:p>
    <w:p w14:paraId="639100FD" w14:textId="77777777" w:rsidR="00455436" w:rsidRDefault="00455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panose1 w:val="00000000000000000000"/>
    <w:charset w:val="00"/>
    <w:family w:val="modern"/>
    <w:notTrueType/>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545C7" w14:textId="77777777" w:rsidR="00455436" w:rsidRDefault="00455436" w:rsidP="00D03678">
      <w:pPr>
        <w:spacing w:after="0" w:line="240" w:lineRule="auto"/>
      </w:pPr>
      <w:r>
        <w:separator/>
      </w:r>
    </w:p>
    <w:p w14:paraId="16D2CEF8" w14:textId="77777777" w:rsidR="00455436" w:rsidRDefault="00455436"/>
  </w:footnote>
  <w:footnote w:type="continuationSeparator" w:id="0">
    <w:p w14:paraId="22C1988D" w14:textId="77777777" w:rsidR="00455436" w:rsidRDefault="00455436" w:rsidP="00D03678">
      <w:pPr>
        <w:spacing w:after="0" w:line="240" w:lineRule="auto"/>
      </w:pPr>
      <w:r>
        <w:continuationSeparator/>
      </w:r>
    </w:p>
    <w:p w14:paraId="78060D85" w14:textId="77777777" w:rsidR="00455436" w:rsidRDefault="00455436"/>
  </w:footnote>
  <w:footnote w:type="continuationNotice" w:id="1">
    <w:p w14:paraId="3F88394A" w14:textId="77777777" w:rsidR="00455436" w:rsidRDefault="00455436">
      <w:pPr>
        <w:spacing w:after="0" w:line="240" w:lineRule="auto"/>
      </w:pPr>
    </w:p>
    <w:p w14:paraId="680AA532" w14:textId="77777777" w:rsidR="00455436" w:rsidRDefault="004554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104B6"/>
    <w:rsid w:val="00110F5D"/>
    <w:rsid w:val="00111DAC"/>
    <w:rsid w:val="00112630"/>
    <w:rsid w:val="00113053"/>
    <w:rsid w:val="00113C75"/>
    <w:rsid w:val="00113EEE"/>
    <w:rsid w:val="00114B8D"/>
    <w:rsid w:val="0011517C"/>
    <w:rsid w:val="00115B0E"/>
    <w:rsid w:val="00115C9F"/>
    <w:rsid w:val="0011693D"/>
    <w:rsid w:val="00116C4B"/>
    <w:rsid w:val="00116FA9"/>
    <w:rsid w:val="00120AEE"/>
    <w:rsid w:val="001215E7"/>
    <w:rsid w:val="0012168C"/>
    <w:rsid w:val="00122E90"/>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49B"/>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6CC4"/>
    <w:rsid w:val="00866FC8"/>
    <w:rsid w:val="00867142"/>
    <w:rsid w:val="008679EA"/>
    <w:rsid w:val="00870223"/>
    <w:rsid w:val="00870321"/>
    <w:rsid w:val="008706E5"/>
    <w:rsid w:val="00870927"/>
    <w:rsid w:val="0087188F"/>
    <w:rsid w:val="008725CB"/>
    <w:rsid w:val="00872619"/>
    <w:rsid w:val="00872D78"/>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6A2A"/>
    <w:rsid w:val="00967698"/>
    <w:rsid w:val="00967B81"/>
    <w:rsid w:val="009705D5"/>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3839"/>
    <w:rsid w:val="00C13F01"/>
    <w:rsid w:val="00C14D07"/>
    <w:rsid w:val="00C15C62"/>
    <w:rsid w:val="00C16141"/>
    <w:rsid w:val="00C16A7F"/>
    <w:rsid w:val="00C16EEB"/>
    <w:rsid w:val="00C1762D"/>
    <w:rsid w:val="00C178C9"/>
    <w:rsid w:val="00C17C14"/>
    <w:rsid w:val="00C17FC3"/>
    <w:rsid w:val="00C202BA"/>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6F5"/>
    <w:rsid w:val="00E857D6"/>
    <w:rsid w:val="00E85912"/>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1767</Words>
  <Characters>10078</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11822</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8</cp:revision>
  <cp:lastPrinted>2023-07-04T14:27:00Z</cp:lastPrinted>
  <dcterms:created xsi:type="dcterms:W3CDTF">2023-07-05T12:44:00Z</dcterms:created>
  <dcterms:modified xsi:type="dcterms:W3CDTF">2023-07-19T10:18:00Z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