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7219B8C"/>
    <w:p w14:paraId="2F58FD30">
      <w:pPr>
        <w:jc w:val="center"/>
        <w:rPr>
          <w:rFonts w:ascii="宋体"/>
          <w:b/>
          <w:sz w:val="44"/>
        </w:rPr>
      </w:pPr>
    </w:p>
    <w:p w14:paraId="03F5DE2D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A591F9F">
      <w:pPr>
        <w:rPr>
          <w:b/>
          <w:sz w:val="28"/>
        </w:rPr>
      </w:pPr>
    </w:p>
    <w:p w14:paraId="181EBDE1">
      <w:pPr>
        <w:rPr>
          <w:b/>
          <w:sz w:val="28"/>
        </w:rPr>
      </w:pPr>
    </w:p>
    <w:p w14:paraId="6E670D2B">
      <w:pPr>
        <w:jc w:val="left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电路分析 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 </w:t>
      </w:r>
    </w:p>
    <w:p w14:paraId="02711FD0">
      <w:pPr>
        <w:rPr>
          <w:b/>
          <w:sz w:val="28"/>
        </w:rPr>
      </w:pPr>
    </w:p>
    <w:p w14:paraId="0D4B259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：实验六、RLC元件在正弦电路中的特性实验</w:t>
      </w:r>
      <w:r>
        <w:rPr>
          <w:rFonts w:hint="eastAsia"/>
          <w:b/>
          <w:sz w:val="28"/>
        </w:rPr>
        <w:t xml:space="preserve">    </w:t>
      </w:r>
    </w:p>
    <w:p w14:paraId="67E9F703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医学部生物医学工程学院        </w:t>
      </w:r>
      <w:r>
        <w:rPr>
          <w:b/>
          <w:sz w:val="28"/>
          <w:u w:val="single"/>
        </w:rPr>
        <w:t xml:space="preserve">       </w:t>
      </w:r>
    </w:p>
    <w:p w14:paraId="37496AD9">
      <w:pPr>
        <w:ind w:left="899" w:leftChars="428"/>
        <w:rPr>
          <w:b/>
          <w:sz w:val="28"/>
        </w:rPr>
      </w:pPr>
    </w:p>
    <w:p w14:paraId="15B61F8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生物医学工程                                           </w:t>
      </w:r>
      <w:r>
        <w:rPr>
          <w:rFonts w:hint="eastAsia"/>
          <w:b/>
          <w:sz w:val="28"/>
        </w:rPr>
        <w:t xml:space="preserve">  </w:t>
      </w:r>
    </w:p>
    <w:p w14:paraId="06E47E66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6D1C84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彭 珏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38FE031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</w:p>
    <w:p w14:paraId="03CA8B3D">
      <w:pPr>
        <w:ind w:left="826" w:hanging="826" w:hangingChars="294"/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thick"/>
        </w:rPr>
        <w:t>：</w:t>
      </w:r>
      <w:r>
        <w:rPr>
          <w:rFonts w:hint="eastAsia"/>
          <w:b/>
          <w:sz w:val="28"/>
          <w:u w:val="thick"/>
          <w:lang w:val="en-US" w:eastAsia="zh-CN"/>
        </w:rPr>
        <w:t>李静儿</w:t>
      </w:r>
      <w:r>
        <w:rPr>
          <w:rFonts w:hint="eastAsia"/>
          <w:b/>
          <w:sz w:val="28"/>
          <w:u w:val="thick"/>
        </w:rPr>
        <w:t xml:space="preserve">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2024222017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thick"/>
        </w:rPr>
        <w:t xml:space="preserve"> </w:t>
      </w:r>
      <w:r>
        <w:rPr>
          <w:rFonts w:hint="eastAsia"/>
          <w:b/>
          <w:sz w:val="28"/>
          <w:u w:val="thick"/>
          <w:lang w:val="en-US" w:eastAsia="zh-CN"/>
        </w:rPr>
        <w:t>医疗科创卓越班</w:t>
      </w:r>
      <w:r>
        <w:rPr>
          <w:rFonts w:hint="eastAsia"/>
          <w:b/>
          <w:sz w:val="28"/>
          <w:u w:val="thick"/>
        </w:rPr>
        <w:t xml:space="preserve">                </w:t>
      </w:r>
    </w:p>
    <w:p w14:paraId="0C4C67D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</w:p>
    <w:p w14:paraId="6A399F24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2025.5.30</w:t>
      </w:r>
      <w:r>
        <w:rPr>
          <w:rFonts w:hint="eastAsia"/>
          <w:b/>
          <w:sz w:val="28"/>
          <w:u w:val="single"/>
        </w:rPr>
        <w:t xml:space="preserve"> 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3F9B0CB5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</w:p>
    <w:p w14:paraId="3A43536C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2025.6.6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43E41DA4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 xml:space="preserve"> </w:t>
      </w:r>
    </w:p>
    <w:p w14:paraId="2151FA6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9"/>
      </w:tblGrid>
      <w:tr w14:paraId="2032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9" w:type="dxa"/>
          </w:tcPr>
          <w:p w14:paraId="6750C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</w:pPr>
            <w:r>
              <w:drawing>
                <wp:inline distT="0" distB="0" distL="114300" distR="114300">
                  <wp:extent cx="5147310" cy="7023735"/>
                  <wp:effectExtent l="0" t="0" r="3810" b="127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310" cy="702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5F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</w:pPr>
            <w:r>
              <w:drawing>
                <wp:inline distT="0" distB="0" distL="114300" distR="114300">
                  <wp:extent cx="5169535" cy="7419975"/>
                  <wp:effectExtent l="0" t="0" r="6350" b="127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9535" cy="741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A5A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614045</wp:posOffset>
                  </wp:positionH>
                  <wp:positionV relativeFrom="paragraph">
                    <wp:posOffset>3039110</wp:posOffset>
                  </wp:positionV>
                  <wp:extent cx="4660265" cy="3305810"/>
                  <wp:effectExtent l="0" t="0" r="3810" b="4445"/>
                  <wp:wrapNone/>
                  <wp:docPr id="8" name="图片 8" descr="1749215964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7492159640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0265" cy="33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inline distT="0" distB="0" distL="114300" distR="114300">
                  <wp:extent cx="5231765" cy="7385050"/>
                  <wp:effectExtent l="0" t="0" r="1905" b="3175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765" cy="738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4247D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电容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1183"/>
              <w:gridCol w:w="1186"/>
              <w:gridCol w:w="1186"/>
              <w:gridCol w:w="1187"/>
              <w:gridCol w:w="1187"/>
              <w:gridCol w:w="1187"/>
              <w:gridCol w:w="1187"/>
            </w:tblGrid>
            <w:tr w14:paraId="684282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187" w:type="dxa"/>
                </w:tcPr>
                <w:p w14:paraId="5705C28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</w:t>
                  </w:r>
                </w:p>
              </w:tc>
              <w:tc>
                <w:tcPr>
                  <w:tcW w:w="1187" w:type="dxa"/>
                </w:tcPr>
                <w:p w14:paraId="63D8339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0.5</w:t>
                  </w:r>
                </w:p>
              </w:tc>
              <w:tc>
                <w:tcPr>
                  <w:tcW w:w="1187" w:type="dxa"/>
                </w:tcPr>
                <w:p w14:paraId="53B1089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88" w:type="dxa"/>
                </w:tcPr>
                <w:p w14:paraId="78E51AA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1.5</w:t>
                  </w:r>
                </w:p>
              </w:tc>
              <w:tc>
                <w:tcPr>
                  <w:tcW w:w="1188" w:type="dxa"/>
                </w:tcPr>
                <w:p w14:paraId="10B71B4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188" w:type="dxa"/>
                </w:tcPr>
                <w:p w14:paraId="22AC65B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2.5</w:t>
                  </w:r>
                </w:p>
              </w:tc>
              <w:tc>
                <w:tcPr>
                  <w:tcW w:w="1188" w:type="dxa"/>
                </w:tcPr>
                <w:p w14:paraId="4A62B3A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511C78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026710E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</w:t>
                  </w:r>
                </w:p>
              </w:tc>
              <w:tc>
                <w:tcPr>
                  <w:tcW w:w="1187" w:type="dxa"/>
                </w:tcPr>
                <w:p w14:paraId="795D0CC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2012</w:t>
                  </w:r>
                </w:p>
              </w:tc>
              <w:tc>
                <w:tcPr>
                  <w:tcW w:w="1187" w:type="dxa"/>
                </w:tcPr>
                <w:p w14:paraId="038C6B0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1030</w:t>
                  </w:r>
                </w:p>
              </w:tc>
              <w:tc>
                <w:tcPr>
                  <w:tcW w:w="1188" w:type="dxa"/>
                </w:tcPr>
                <w:p w14:paraId="56FA538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664</w:t>
                  </w:r>
                </w:p>
              </w:tc>
              <w:tc>
                <w:tcPr>
                  <w:tcW w:w="1188" w:type="dxa"/>
                </w:tcPr>
                <w:p w14:paraId="1BB7428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512</w:t>
                  </w:r>
                </w:p>
              </w:tc>
              <w:tc>
                <w:tcPr>
                  <w:tcW w:w="1188" w:type="dxa"/>
                </w:tcPr>
                <w:p w14:paraId="023A3E9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400</w:t>
                  </w:r>
                </w:p>
              </w:tc>
              <w:tc>
                <w:tcPr>
                  <w:tcW w:w="1188" w:type="dxa"/>
                </w:tcPr>
                <w:p w14:paraId="63A1B67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335</w:t>
                  </w:r>
                </w:p>
              </w:tc>
            </w:tr>
            <w:tr w14:paraId="1BBA5C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468127A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</w:p>
              </w:tc>
              <w:tc>
                <w:tcPr>
                  <w:tcW w:w="1187" w:type="dxa"/>
                </w:tcPr>
                <w:p w14:paraId="4AD6F0E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467</w:t>
                  </w:r>
                </w:p>
              </w:tc>
              <w:tc>
                <w:tcPr>
                  <w:tcW w:w="1187" w:type="dxa"/>
                </w:tcPr>
                <w:p w14:paraId="524A079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252</w:t>
                  </w:r>
                </w:p>
              </w:tc>
              <w:tc>
                <w:tcPr>
                  <w:tcW w:w="1188" w:type="dxa"/>
                </w:tcPr>
                <w:p w14:paraId="6041D12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158</w:t>
                  </w:r>
                </w:p>
              </w:tc>
              <w:tc>
                <w:tcPr>
                  <w:tcW w:w="1188" w:type="dxa"/>
                </w:tcPr>
                <w:p w14:paraId="379D6BB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133</w:t>
                  </w:r>
                </w:p>
              </w:tc>
              <w:tc>
                <w:tcPr>
                  <w:tcW w:w="1188" w:type="dxa"/>
                </w:tcPr>
                <w:p w14:paraId="0D4B286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101</w:t>
                  </w:r>
                </w:p>
              </w:tc>
              <w:tc>
                <w:tcPr>
                  <w:tcW w:w="1188" w:type="dxa"/>
                </w:tcPr>
                <w:p w14:paraId="55680F6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88</w:t>
                  </w:r>
                </w:p>
              </w:tc>
            </w:tr>
            <w:tr w14:paraId="252380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468128C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>ψ</w:t>
                  </w:r>
                </w:p>
              </w:tc>
              <w:tc>
                <w:tcPr>
                  <w:tcW w:w="1187" w:type="dxa"/>
                </w:tcPr>
                <w:p w14:paraId="753A3D0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83.8</w:t>
                  </w:r>
                </w:p>
              </w:tc>
              <w:tc>
                <w:tcPr>
                  <w:tcW w:w="1187" w:type="dxa"/>
                </w:tcPr>
                <w:p w14:paraId="0C8E1FA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86.4</w:t>
                  </w:r>
                </w:p>
              </w:tc>
              <w:tc>
                <w:tcPr>
                  <w:tcW w:w="1188" w:type="dxa"/>
                </w:tcPr>
                <w:p w14:paraId="25AE3E2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87.6</w:t>
                  </w:r>
                </w:p>
              </w:tc>
              <w:tc>
                <w:tcPr>
                  <w:tcW w:w="1188" w:type="dxa"/>
                </w:tcPr>
                <w:p w14:paraId="36F0ECB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87.8</w:t>
                  </w:r>
                </w:p>
              </w:tc>
              <w:tc>
                <w:tcPr>
                  <w:tcW w:w="1188" w:type="dxa"/>
                </w:tcPr>
                <w:p w14:paraId="052C874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88.6</w:t>
                  </w:r>
                </w:p>
              </w:tc>
              <w:tc>
                <w:tcPr>
                  <w:tcW w:w="1188" w:type="dxa"/>
                </w:tcPr>
                <w:p w14:paraId="3F1961E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88.9</w:t>
                  </w:r>
                </w:p>
              </w:tc>
            </w:tr>
          </w:tbl>
          <w:p w14:paraId="13882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eastAsia="宋体"/>
                <w:lang w:val="en-US" w:eastAsia="zh-CN"/>
              </w:rPr>
            </w:pPr>
          </w:p>
          <w:p w14:paraId="74BDD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eastAsia="宋体"/>
                <w:lang w:val="en-US" w:eastAsia="zh-CN"/>
              </w:rPr>
            </w:pPr>
          </w:p>
          <w:p w14:paraId="6D961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电感</w:t>
            </w: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83"/>
              <w:gridCol w:w="1186"/>
              <w:gridCol w:w="1186"/>
              <w:gridCol w:w="1187"/>
              <w:gridCol w:w="1187"/>
              <w:gridCol w:w="1187"/>
              <w:gridCol w:w="1187"/>
            </w:tblGrid>
            <w:tr w14:paraId="08B62C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528A615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</w:t>
                  </w:r>
                </w:p>
              </w:tc>
              <w:tc>
                <w:tcPr>
                  <w:tcW w:w="1187" w:type="dxa"/>
                </w:tcPr>
                <w:p w14:paraId="1A79092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0.5</w:t>
                  </w:r>
                </w:p>
              </w:tc>
              <w:tc>
                <w:tcPr>
                  <w:tcW w:w="1187" w:type="dxa"/>
                </w:tcPr>
                <w:p w14:paraId="2F383D7C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88" w:type="dxa"/>
                </w:tcPr>
                <w:p w14:paraId="1DC6E85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1.5</w:t>
                  </w:r>
                </w:p>
              </w:tc>
              <w:tc>
                <w:tcPr>
                  <w:tcW w:w="1188" w:type="dxa"/>
                </w:tcPr>
                <w:p w14:paraId="71D570B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188" w:type="dxa"/>
                </w:tcPr>
                <w:p w14:paraId="57DBF94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2.5</w:t>
                  </w:r>
                </w:p>
              </w:tc>
              <w:tc>
                <w:tcPr>
                  <w:tcW w:w="1188" w:type="dxa"/>
                </w:tcPr>
                <w:p w14:paraId="299AE29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6CC07F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4D8AD67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</w:t>
                  </w:r>
                </w:p>
              </w:tc>
              <w:tc>
                <w:tcPr>
                  <w:tcW w:w="1187" w:type="dxa"/>
                </w:tcPr>
                <w:p w14:paraId="5C0DEEB8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2012</w:t>
                  </w:r>
                </w:p>
              </w:tc>
              <w:tc>
                <w:tcPr>
                  <w:tcW w:w="1187" w:type="dxa"/>
                </w:tcPr>
                <w:p w14:paraId="2585787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1000</w:t>
                  </w:r>
                </w:p>
              </w:tc>
              <w:tc>
                <w:tcPr>
                  <w:tcW w:w="1188" w:type="dxa"/>
                </w:tcPr>
                <w:p w14:paraId="620781E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672</w:t>
                  </w:r>
                </w:p>
              </w:tc>
              <w:tc>
                <w:tcPr>
                  <w:tcW w:w="1188" w:type="dxa"/>
                </w:tcPr>
                <w:p w14:paraId="602EBB7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500</w:t>
                  </w:r>
                </w:p>
              </w:tc>
              <w:tc>
                <w:tcPr>
                  <w:tcW w:w="1188" w:type="dxa"/>
                </w:tcPr>
                <w:p w14:paraId="4B6689A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400</w:t>
                  </w:r>
                </w:p>
              </w:tc>
              <w:tc>
                <w:tcPr>
                  <w:tcW w:w="1188" w:type="dxa"/>
                </w:tcPr>
                <w:p w14:paraId="5539AED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343</w:t>
                  </w:r>
                </w:p>
              </w:tc>
            </w:tr>
            <w:tr w14:paraId="655985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66CBEF1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</w:p>
              </w:tc>
              <w:tc>
                <w:tcPr>
                  <w:tcW w:w="1187" w:type="dxa"/>
                </w:tcPr>
                <w:p w14:paraId="035BEBD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111</w:t>
                  </w:r>
                </w:p>
              </w:tc>
              <w:tc>
                <w:tcPr>
                  <w:tcW w:w="1187" w:type="dxa"/>
                </w:tcPr>
                <w:p w14:paraId="69AC2BB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97</w:t>
                  </w:r>
                </w:p>
              </w:tc>
              <w:tc>
                <w:tcPr>
                  <w:tcW w:w="1188" w:type="dxa"/>
                </w:tcPr>
                <w:p w14:paraId="3DABCE7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86</w:t>
                  </w:r>
                </w:p>
              </w:tc>
              <w:tc>
                <w:tcPr>
                  <w:tcW w:w="1188" w:type="dxa"/>
                </w:tcPr>
                <w:p w14:paraId="35308AB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78</w:t>
                  </w:r>
                </w:p>
              </w:tc>
              <w:tc>
                <w:tcPr>
                  <w:tcW w:w="1188" w:type="dxa"/>
                </w:tcPr>
                <w:p w14:paraId="3C4B68C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68</w:t>
                  </w:r>
                </w:p>
              </w:tc>
              <w:tc>
                <w:tcPr>
                  <w:tcW w:w="1188" w:type="dxa"/>
                </w:tcPr>
                <w:p w14:paraId="4FB931E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59</w:t>
                  </w:r>
                </w:p>
              </w:tc>
            </w:tr>
            <w:tr w14:paraId="62CB0B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0B54FAA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>ψ</w:t>
                  </w:r>
                </w:p>
              </w:tc>
              <w:tc>
                <w:tcPr>
                  <w:tcW w:w="1187" w:type="dxa"/>
                </w:tcPr>
                <w:p w14:paraId="68C23DD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19.8</w:t>
                  </w:r>
                </w:p>
              </w:tc>
              <w:tc>
                <w:tcPr>
                  <w:tcW w:w="1187" w:type="dxa"/>
                </w:tcPr>
                <w:p w14:paraId="23F6CB3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34.4</w:t>
                  </w:r>
                </w:p>
              </w:tc>
              <w:tc>
                <w:tcPr>
                  <w:tcW w:w="1188" w:type="dxa"/>
                </w:tcPr>
                <w:p w14:paraId="0E506E7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46.0</w:t>
                  </w:r>
                </w:p>
              </w:tc>
              <w:tc>
                <w:tcPr>
                  <w:tcW w:w="1188" w:type="dxa"/>
                </w:tcPr>
                <w:p w14:paraId="2B050CF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54.6</w:t>
                  </w:r>
                </w:p>
              </w:tc>
              <w:tc>
                <w:tcPr>
                  <w:tcW w:w="1188" w:type="dxa"/>
                </w:tcPr>
                <w:p w14:paraId="3F657E6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59.6</w:t>
                  </w:r>
                </w:p>
              </w:tc>
              <w:tc>
                <w:tcPr>
                  <w:tcW w:w="1188" w:type="dxa"/>
                </w:tcPr>
                <w:p w14:paraId="7AA26F4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62.3</w:t>
                  </w:r>
                </w:p>
              </w:tc>
            </w:tr>
          </w:tbl>
          <w:p w14:paraId="72B15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</w:pPr>
          </w:p>
          <w:tbl>
            <w:tblPr>
              <w:tblStyle w:val="9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84"/>
              <w:gridCol w:w="1186"/>
              <w:gridCol w:w="1185"/>
              <w:gridCol w:w="1187"/>
              <w:gridCol w:w="1187"/>
              <w:gridCol w:w="1187"/>
              <w:gridCol w:w="1187"/>
            </w:tblGrid>
            <w:tr w14:paraId="0B2975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2F4F54D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</w:t>
                  </w:r>
                </w:p>
              </w:tc>
              <w:tc>
                <w:tcPr>
                  <w:tcW w:w="1187" w:type="dxa"/>
                </w:tcPr>
                <w:p w14:paraId="78CA88A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0.5</w:t>
                  </w:r>
                </w:p>
              </w:tc>
              <w:tc>
                <w:tcPr>
                  <w:tcW w:w="1187" w:type="dxa"/>
                </w:tcPr>
                <w:p w14:paraId="248B4CD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88" w:type="dxa"/>
                </w:tcPr>
                <w:p w14:paraId="56AE3EC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1.5</w:t>
                  </w:r>
                </w:p>
              </w:tc>
              <w:tc>
                <w:tcPr>
                  <w:tcW w:w="1188" w:type="dxa"/>
                </w:tcPr>
                <w:p w14:paraId="1E8742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188" w:type="dxa"/>
                </w:tcPr>
                <w:p w14:paraId="0AE6DD2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2.5</w:t>
                  </w:r>
                </w:p>
              </w:tc>
              <w:tc>
                <w:tcPr>
                  <w:tcW w:w="1188" w:type="dxa"/>
                </w:tcPr>
                <w:p w14:paraId="4092949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</w:t>
                  </w:r>
                </w:p>
              </w:tc>
            </w:tr>
            <w:tr w14:paraId="671BA2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2D4A9F7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n</w:t>
                  </w:r>
                </w:p>
              </w:tc>
              <w:tc>
                <w:tcPr>
                  <w:tcW w:w="1187" w:type="dxa"/>
                </w:tcPr>
                <w:p w14:paraId="15E6F4B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187" w:type="dxa"/>
                </w:tcPr>
                <w:p w14:paraId="0D11027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188" w:type="dxa"/>
                </w:tcPr>
                <w:p w14:paraId="7D5A827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0.67</w:t>
                  </w:r>
                </w:p>
              </w:tc>
              <w:tc>
                <w:tcPr>
                  <w:tcW w:w="1188" w:type="dxa"/>
                </w:tcPr>
                <w:p w14:paraId="505711D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0.52</w:t>
                  </w:r>
                </w:p>
              </w:tc>
              <w:tc>
                <w:tcPr>
                  <w:tcW w:w="1188" w:type="dxa"/>
                </w:tcPr>
                <w:p w14:paraId="1CF5FF2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0.4</w:t>
                  </w:r>
                </w:p>
              </w:tc>
              <w:tc>
                <w:tcPr>
                  <w:tcW w:w="1188" w:type="dxa"/>
                </w:tcPr>
                <w:p w14:paraId="537661E9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0.39</w:t>
                  </w:r>
                </w:p>
              </w:tc>
            </w:tr>
            <w:tr w14:paraId="2C4D60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714BFB4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eastAsia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m</w:t>
                  </w:r>
                </w:p>
              </w:tc>
              <w:tc>
                <w:tcPr>
                  <w:tcW w:w="1187" w:type="dxa"/>
                </w:tcPr>
                <w:p w14:paraId="1164B5D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7" w:type="dxa"/>
                  <w:vAlign w:val="top"/>
                </w:tcPr>
                <w:p w14:paraId="18B472A2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8" w:type="dxa"/>
                  <w:vAlign w:val="top"/>
                </w:tcPr>
                <w:p w14:paraId="16E0DDE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8" w:type="dxa"/>
                  <w:vAlign w:val="top"/>
                </w:tcPr>
                <w:p w14:paraId="63E25BD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8" w:type="dxa"/>
                  <w:vAlign w:val="top"/>
                </w:tcPr>
                <w:p w14:paraId="7AC51DF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8" w:type="dxa"/>
                  <w:vAlign w:val="top"/>
                </w:tcPr>
                <w:p w14:paraId="3BC2B80A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 w14:paraId="33092C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87" w:type="dxa"/>
                </w:tcPr>
                <w:p w14:paraId="631D4CFF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eastAsia="宋体"/>
                      <w:vertAlign w:val="baseline"/>
                      <w:lang w:val="en-US" w:eastAsia="zh-CN"/>
                    </w:rPr>
                    <w:t>ψ</w:t>
                  </w:r>
                </w:p>
              </w:tc>
              <w:tc>
                <w:tcPr>
                  <w:tcW w:w="1187" w:type="dxa"/>
                </w:tcPr>
                <w:p w14:paraId="1861E87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rFonts w:hint="default" w:eastAsia="宋体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7" w:type="dxa"/>
                  <w:vAlign w:val="top"/>
                </w:tcPr>
                <w:p w14:paraId="12D932A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8" w:type="dxa"/>
                  <w:vAlign w:val="top"/>
                </w:tcPr>
                <w:p w14:paraId="4AC61E4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8" w:type="dxa"/>
                  <w:vAlign w:val="top"/>
                </w:tcPr>
                <w:p w14:paraId="6367D170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8" w:type="dxa"/>
                  <w:vAlign w:val="top"/>
                </w:tcPr>
                <w:p w14:paraId="4906595B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188" w:type="dxa"/>
                  <w:vAlign w:val="top"/>
                </w:tcPr>
                <w:p w14:paraId="3EE7513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firstLine="420" w:firstLineChars="200"/>
                    <w:textAlignment w:val="auto"/>
                    <w:rPr>
                      <w:vertAlign w:val="baseline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</w:tbl>
          <w:p w14:paraId="25582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eastAsia"/>
                <w:lang w:val="en-US" w:eastAsia="zh-CN"/>
              </w:rPr>
              <w:t>五</w:t>
            </w:r>
            <w:r>
              <w:rPr>
                <w:lang w:val="en-US" w:eastAsia="zh-CN"/>
              </w:rPr>
              <w:t xml:space="preserve">. </w:t>
            </w:r>
            <w:r>
              <w:rPr>
                <w:rFonts w:hint="eastAsia"/>
                <w:lang w:val="en-US" w:eastAsia="zh-CN"/>
              </w:rPr>
              <w:t xml:space="preserve">实验注意事项 </w:t>
            </w:r>
          </w:p>
          <w:p w14:paraId="4C213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default"/>
                <w:lang w:val="en-US" w:eastAsia="zh-CN"/>
              </w:rPr>
              <w:t xml:space="preserve">1. </w:t>
            </w:r>
            <w:r>
              <w:rPr>
                <w:rFonts w:hint="eastAsia"/>
                <w:lang w:val="en-US" w:eastAsia="zh-CN"/>
              </w:rPr>
              <w:t xml:space="preserve">信号源的接地端与示波器的接地端要连在一起（称共地）， 以防外界 </w:t>
            </w:r>
          </w:p>
          <w:p w14:paraId="04494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eastAsia"/>
                <w:lang w:val="en-US" w:eastAsia="zh-CN"/>
              </w:rPr>
              <w:t xml:space="preserve">干扰而影响测量的准确性。 </w:t>
            </w:r>
          </w:p>
          <w:p w14:paraId="3AFAE7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eastAsia"/>
                <w:lang w:val="en-US" w:eastAsia="zh-CN"/>
              </w:rPr>
              <w:t>六</w:t>
            </w:r>
            <w:r>
              <w:rPr>
                <w:rFonts w:hint="default"/>
                <w:lang w:val="en-US" w:eastAsia="zh-CN"/>
              </w:rPr>
              <w:t xml:space="preserve">. </w:t>
            </w:r>
            <w:r>
              <w:rPr>
                <w:rFonts w:hint="eastAsia"/>
                <w:lang w:val="en-US" w:eastAsia="zh-CN"/>
              </w:rPr>
              <w:t xml:space="preserve">思考题 </w:t>
            </w:r>
          </w:p>
          <w:p w14:paraId="40547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default"/>
                <w:lang w:val="en-US" w:eastAsia="zh-CN"/>
              </w:rPr>
              <w:t xml:space="preserve">1. </w:t>
            </w:r>
            <w:r>
              <w:rPr>
                <w:rFonts w:hint="eastAsia"/>
                <w:lang w:val="en-US" w:eastAsia="zh-CN"/>
              </w:rPr>
              <w:t xml:space="preserve">测量 </w:t>
            </w:r>
            <w:r>
              <w:rPr>
                <w:rFonts w:hint="default"/>
                <w:lang w:val="en-US" w:eastAsia="zh-CN"/>
              </w:rPr>
              <w:t>R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L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 xml:space="preserve">C </w:t>
            </w:r>
            <w:r>
              <w:rPr>
                <w:rFonts w:hint="eastAsia"/>
                <w:lang w:val="en-US" w:eastAsia="zh-CN"/>
              </w:rPr>
              <w:t xml:space="preserve">各个元件的阻抗角时，为什么要与它们串联一个小电阻？ </w:t>
            </w:r>
          </w:p>
          <w:p w14:paraId="0AB74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eastAsia"/>
                <w:lang w:val="en-US" w:eastAsia="zh-CN"/>
              </w:rPr>
              <w:t xml:space="preserve">它对实验中测得的数据有何影响？可否用一个小电感或大电容代替？为什 </w:t>
            </w:r>
          </w:p>
          <w:p w14:paraId="08888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eastAsia"/>
                <w:lang w:val="en-US" w:eastAsia="zh-CN"/>
              </w:rPr>
              <w:t>么？</w:t>
            </w:r>
          </w:p>
          <w:p w14:paraId="6E05C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t>串联小电阻原因</w:t>
            </w:r>
            <w:r>
              <w:rPr>
                <w:rFonts w:hint="default"/>
              </w:rPr>
              <w:t>：方便测电流，将测电流转换为测小电阻电压，且小电阻电压与电流同相，可代表电流相位；稳定电路阻抗特性，减小电感、电容因频率变化带来的测量误差。</w:t>
            </w:r>
          </w:p>
          <w:p w14:paraId="6092A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default"/>
              </w:rPr>
              <w:t>对实验数据影响：小电阻阻值远小于待测元件阻抗，分压小，对总电压、电流影响可忽略，引入的阻抗对电流相位影响极小，能保证阻抗角测量准确。</w:t>
            </w:r>
          </w:p>
          <w:p w14:paraId="3D06C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/>
            </w:pPr>
            <w:r>
              <w:rPr>
                <w:rFonts w:hint="default"/>
              </w:rPr>
              <w:t>不能用小电感或大电容代替原因：小电感、大电容在交流电路中与电流存在 90° 相位差，会干扰电流相位测量，且其感抗、容抗随频率变化，影响测量稳定性与准确性；小电阻电压电流同相，无额外相位干扰 。</w:t>
            </w:r>
          </w:p>
          <w:p w14:paraId="00228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</w:pPr>
          </w:p>
          <w:p w14:paraId="7A46A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b/>
                <w:bCs/>
                <w:sz w:val="32"/>
                <w:szCs w:val="40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40"/>
                <w:lang w:val="en-US" w:eastAsia="zh-CN"/>
              </w:rPr>
              <w:t>实验体会：</w:t>
            </w:r>
          </w:p>
          <w:p w14:paraId="283D8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在完成 “电路分析” 课程中 “实验四 电路定理的验证 II－戴维南定理” 实验后，我对电路理论知识有了更深刻的理解，同时在实践操作与问题解决方面也获得了宝贵的经验。​</w:t>
            </w:r>
          </w:p>
          <w:p w14:paraId="4EE95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本次实验围绕测量 R、L、C 元件的阻抗角展开，串联小电阻这一操作让我印象深刻。从理论推导到实际应用，我清晰认识到其在测量中的关键作用。它巧妙地将难以直接测量的电流转换为易于测量的电压，利用欧姆定律和小电阻电压电流同相的特性，为准确测量电流相位提供了有效途径。同时，在面对电感、电容阻抗随频率变化的复杂情况时，小电阻稳定电路阻抗特性的作用，也让我体会到其对减小测量误差、保证数据准确性和可重复性的重要意义。通过对实验数据的分析，不同频率下电容、电感的阻抗角变化趋势，进一步验证了理论知识，也让我直观感受到电路参数与频率之间的紧密联系。​</w:t>
            </w:r>
          </w:p>
          <w:p w14:paraId="18DDF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实验过程并非一帆风顺，遇到了诸如信号干扰导致测量数据波动等问题。通过严格遵循 “信号源与示波器共地” 的注意事项，有效减少了外界干扰，确保了测量准确性。这一经历让我明白，实验操作中的细节至关重要，任何一个环节的疏忽都可能影响最终结果。同时，在处理数据和分析思考题时，我对电路原理的理解更加深入，不仅知其然，更知其所以然。</w:t>
            </w:r>
          </w:p>
          <w:p w14:paraId="3D75FC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此次实验也让我深刻体会到理论与实践相结合的重要性。课堂上学习的电路定理和公式，在实验中得到了生动的验证和应用。我学会了运用所学知识解决实际问题，也发现了理论与实际之间存在的差异，这促使我不断思考和探索，提升自己的综合能力。作为生物医学工程专业的学生，电路分析知识是后续学习和研究的重要基础。这次实验让我认识到，扎实的电路知识对于理解生物医学仪器的工作原理、进行信号处理和电路设计都具有关键作用。</w:t>
            </w:r>
          </w:p>
          <w:p w14:paraId="1643A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未来的学习中，我将更加注重理论知识的积累，同时积极参与实践活动，不断提高自己的动手能力和创新思维。我相信，这些在实验中培养的能力和积累的经验，将对我今后的专业学习和职业发展产生深远的影响，助力我在生物医学工程领域不断探索前行。</w:t>
            </w:r>
          </w:p>
          <w:p w14:paraId="0B763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</w:p>
        </w:tc>
      </w:tr>
    </w:tbl>
    <w:p w14:paraId="417BABBF"/>
    <w:p w14:paraId="2206C513">
      <w:r>
        <w:rPr>
          <w:rFonts w:hint="eastAsia"/>
        </w:rPr>
        <w:t>深圳大学学生实验报告用纸</w:t>
      </w:r>
    </w:p>
    <w:tbl>
      <w:tblPr>
        <w:tblStyle w:val="8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A55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78C33BB9">
            <w:r>
              <w:rPr>
                <w:rFonts w:hint="eastAsia"/>
              </w:rPr>
              <w:t>指导教师批阅意见：</w:t>
            </w:r>
          </w:p>
          <w:p w14:paraId="74D70F88"/>
          <w:p w14:paraId="797BC0D3"/>
          <w:p w14:paraId="1BA15890"/>
          <w:p w14:paraId="17CF542C"/>
          <w:p w14:paraId="07DCD6E2"/>
          <w:p w14:paraId="3E2C46BC"/>
          <w:p w14:paraId="43A281B3"/>
          <w:p w14:paraId="4C567CFA"/>
          <w:p w14:paraId="2D057191"/>
          <w:p w14:paraId="44E28CFC"/>
          <w:p w14:paraId="42477A0F">
            <w:r>
              <w:rPr>
                <w:rFonts w:hint="eastAsia"/>
              </w:rPr>
              <w:t>成绩评定：</w:t>
            </w:r>
          </w:p>
          <w:p w14:paraId="4B227B79"/>
          <w:p w14:paraId="04E7ABA0"/>
          <w:p w14:paraId="46AFC45C"/>
          <w:p w14:paraId="600CCFD7"/>
          <w:p w14:paraId="668E63D0"/>
          <w:p w14:paraId="7F98144D"/>
          <w:p w14:paraId="084FC3D7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7718B7F0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0A27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0B099864">
            <w:r>
              <w:rPr>
                <w:rFonts w:hint="eastAsia"/>
              </w:rPr>
              <w:t>备注：</w:t>
            </w:r>
          </w:p>
        </w:tc>
      </w:tr>
    </w:tbl>
    <w:p w14:paraId="39BDA6F2"/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-BoldMT">
    <w:altName w:val="★日文毛笔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★日文毛笔">
    <w:panose1 w:val="02000609000000000000"/>
    <w:charset w:val="80"/>
    <w:family w:val="auto"/>
    <w:pitch w:val="default"/>
    <w:sig w:usb0="A00002BF" w:usb1="68C7FCFB" w:usb2="00000010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attachedTemplate r:id="rId1"/>
  <w:documentProtection w:enforcement="0"/>
  <w:defaultTabStop w:val="42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90CAF"/>
    <w:rsid w:val="00037844"/>
    <w:rsid w:val="00086378"/>
    <w:rsid w:val="00172A27"/>
    <w:rsid w:val="00185CFE"/>
    <w:rsid w:val="002B658D"/>
    <w:rsid w:val="002D177C"/>
    <w:rsid w:val="0035404B"/>
    <w:rsid w:val="00400855"/>
    <w:rsid w:val="0041358B"/>
    <w:rsid w:val="00480FE1"/>
    <w:rsid w:val="004B5EDE"/>
    <w:rsid w:val="004E2EB5"/>
    <w:rsid w:val="00533DC1"/>
    <w:rsid w:val="005C1616"/>
    <w:rsid w:val="0062422A"/>
    <w:rsid w:val="00732653"/>
    <w:rsid w:val="00881B2E"/>
    <w:rsid w:val="008D56A8"/>
    <w:rsid w:val="008E0AF3"/>
    <w:rsid w:val="009A5F8D"/>
    <w:rsid w:val="00A27207"/>
    <w:rsid w:val="00AA0E1B"/>
    <w:rsid w:val="00AD387F"/>
    <w:rsid w:val="00AE7B44"/>
    <w:rsid w:val="00B22706"/>
    <w:rsid w:val="00B37222"/>
    <w:rsid w:val="00B46AA8"/>
    <w:rsid w:val="00BA21B6"/>
    <w:rsid w:val="00BE644B"/>
    <w:rsid w:val="00BF5E36"/>
    <w:rsid w:val="00CE33A1"/>
    <w:rsid w:val="00D03CEE"/>
    <w:rsid w:val="00D43FD0"/>
    <w:rsid w:val="00DC59E8"/>
    <w:rsid w:val="00E25139"/>
    <w:rsid w:val="00E67C86"/>
    <w:rsid w:val="00F25DFE"/>
    <w:rsid w:val="00FD79A5"/>
    <w:rsid w:val="0620235A"/>
    <w:rsid w:val="14A10B0A"/>
    <w:rsid w:val="26A8046D"/>
    <w:rsid w:val="2A7C7BF7"/>
    <w:rsid w:val="31397652"/>
    <w:rsid w:val="32F822BB"/>
    <w:rsid w:val="38855EC9"/>
    <w:rsid w:val="3B7C3C8D"/>
    <w:rsid w:val="3CA90CAF"/>
    <w:rsid w:val="4ACA7E07"/>
    <w:rsid w:val="4F1D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semiHidden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3">
    <w:name w:val="页眉 字符"/>
    <w:link w:val="7"/>
    <w:qFormat/>
    <w:uiPriority w:val="0"/>
    <w:rPr>
      <w:kern w:val="2"/>
      <w:sz w:val="18"/>
      <w:szCs w:val="18"/>
    </w:rPr>
  </w:style>
  <w:style w:type="paragraph" w:customStyle="1" w:styleId="14">
    <w:name w:val="HTML 预设格式1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15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6">
    <w:name w:val="批注框文本 字符"/>
    <w:basedOn w:val="10"/>
    <w:link w:val="5"/>
    <w:semiHidden/>
    <w:qFormat/>
    <w:uiPriority w:val="99"/>
    <w:rPr>
      <w:kern w:val="2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\Desktop\DSP&#31995;&#32479;&#35774;&#35745;\&#23454;%20&#39564;%20&#25253;%20&#21578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C7FF9-904B-4902-B6E0-9B1A64B418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 验 报 告模板</Template>
  <Company>SZU</Company>
  <Pages>6</Pages>
  <Words>1048</Words>
  <Characters>1151</Characters>
  <Lines>5</Lines>
  <Paragraphs>1</Paragraphs>
  <TotalTime>24</TotalTime>
  <ScaleCrop>false</ScaleCrop>
  <LinksUpToDate>false</LinksUpToDate>
  <CharactersWithSpaces>1699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2016-06-07T09:29:00Z</dcterms:created>
  <dc:creator>Eric Ching</dc:creator>
  <cp:keywords>DSP 实验</cp:keywords>
  <cp:lastModifiedBy>潜力股</cp:lastModifiedBy>
  <dcterms:modified xsi:type="dcterms:W3CDTF">2025-06-06T13:21:20Z</dcterms:modified>
  <dc:title>深圳大学实验报告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6882BCCBFEA14B34A848CC9EEC5D1CC6_13</vt:lpwstr>
  </property>
  <property fmtid="{D5CDD505-2E9C-101B-9397-08002B2CF9AE}" pid="4" name="KSOTemplateDocerSaveRecord">
    <vt:lpwstr>eyJoZGlkIjoiYTg3NzNkZGQ4MjQ5YzIzNDJjOTRkYTYwMmFmZjUwYzEiLCJ1c2VySWQiOiIyOTg2MDk1OTkifQ==</vt:lpwstr>
  </property>
</Properties>
</file>