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CB14" w14:textId="77777777" w:rsidR="00C439E3" w:rsidRDefault="00415356" w:rsidP="00C439E3">
      <w:pPr>
        <w:jc w:val="center"/>
        <w:rPr>
          <w:rFonts w:ascii="Times New Roman" w:eastAsia="Arial Unicode MS" w:hAnsi="Times New Roman" w:cs="Times New Roman"/>
          <w:sz w:val="36"/>
        </w:rPr>
      </w:pPr>
      <w:r>
        <w:rPr>
          <w:rFonts w:ascii="Times New Roman" w:eastAsia="Arial Unicode MS" w:hAnsi="Times New Roman" w:cs="Times New Roman" w:hint="eastAsia"/>
          <w:sz w:val="36"/>
        </w:rPr>
        <w:t>S</w:t>
      </w:r>
      <w:r w:rsidR="00C06BDD" w:rsidRPr="00415356">
        <w:rPr>
          <w:rFonts w:ascii="Times New Roman" w:eastAsia="Arial Unicode MS" w:hAnsi="Times New Roman" w:cs="Times New Roman"/>
          <w:sz w:val="36"/>
        </w:rPr>
        <w:t xml:space="preserve">tatistical analysis of the </w:t>
      </w:r>
      <w:r w:rsidRPr="00415356">
        <w:rPr>
          <w:rFonts w:ascii="Times New Roman" w:eastAsia="Arial Unicode MS" w:hAnsi="Times New Roman" w:cs="Times New Roman"/>
          <w:sz w:val="36"/>
        </w:rPr>
        <w:t>vehicle</w:t>
      </w:r>
      <w:r w:rsidR="00C06BDD" w:rsidRPr="00415356">
        <w:rPr>
          <w:rFonts w:ascii="Times New Roman" w:eastAsia="Arial Unicode MS" w:hAnsi="Times New Roman" w:cs="Times New Roman"/>
          <w:sz w:val="36"/>
        </w:rPr>
        <w:t xml:space="preserve"> </w:t>
      </w:r>
      <w:r w:rsidRPr="00415356">
        <w:rPr>
          <w:rFonts w:ascii="Times New Roman" w:eastAsia="Arial Unicode MS" w:hAnsi="Times New Roman" w:cs="Times New Roman"/>
          <w:sz w:val="36"/>
        </w:rPr>
        <w:t>ownership</w:t>
      </w:r>
      <w:r w:rsidR="00C439E3">
        <w:rPr>
          <w:rFonts w:ascii="Times New Roman" w:eastAsia="Arial Unicode MS" w:hAnsi="Times New Roman" w:cs="Times New Roman" w:hint="eastAsia"/>
          <w:sz w:val="36"/>
        </w:rPr>
        <w:t xml:space="preserve"> </w:t>
      </w:r>
      <w:r>
        <w:rPr>
          <w:rFonts w:ascii="Times New Roman" w:eastAsia="Arial Unicode MS" w:hAnsi="Times New Roman" w:cs="Times New Roman" w:hint="eastAsia"/>
          <w:sz w:val="36"/>
        </w:rPr>
        <w:t>of</w:t>
      </w:r>
      <w:r w:rsidR="00C06BDD" w:rsidRPr="00415356">
        <w:rPr>
          <w:rFonts w:ascii="Times New Roman" w:eastAsia="Arial Unicode MS" w:hAnsi="Times New Roman" w:cs="Times New Roman"/>
          <w:sz w:val="36"/>
        </w:rPr>
        <w:t xml:space="preserve"> </w:t>
      </w:r>
    </w:p>
    <w:p w14:paraId="1BF18E24" w14:textId="77777777" w:rsidR="00C06BDD" w:rsidRPr="00415356" w:rsidRDefault="00C06BDD" w:rsidP="00C439E3">
      <w:pPr>
        <w:jc w:val="center"/>
        <w:rPr>
          <w:rFonts w:ascii="Times New Roman" w:eastAsia="Arial Unicode MS" w:hAnsi="Times New Roman" w:cs="Times New Roman"/>
          <w:sz w:val="36"/>
        </w:rPr>
      </w:pPr>
      <w:r w:rsidRPr="00415356">
        <w:rPr>
          <w:rFonts w:ascii="Times New Roman" w:eastAsia="Arial Unicode MS" w:hAnsi="Times New Roman" w:cs="Times New Roman"/>
          <w:sz w:val="36"/>
        </w:rPr>
        <w:t>America</w:t>
      </w:r>
      <w:r w:rsidR="00415356" w:rsidRPr="00415356">
        <w:rPr>
          <w:rFonts w:ascii="Times New Roman" w:eastAsia="Arial Unicode MS" w:hAnsi="Times New Roman" w:cs="Times New Roman"/>
          <w:sz w:val="36"/>
        </w:rPr>
        <w:t xml:space="preserve">n </w:t>
      </w:r>
      <w:r w:rsidR="00415356">
        <w:rPr>
          <w:rFonts w:ascii="Times New Roman" w:eastAsia="Arial Unicode MS" w:hAnsi="Times New Roman" w:cs="Times New Roman"/>
          <w:sz w:val="36"/>
        </w:rPr>
        <w:t>household</w:t>
      </w:r>
      <w:r w:rsidR="00994CCD">
        <w:rPr>
          <w:rFonts w:ascii="Times New Roman" w:eastAsia="Arial Unicode MS" w:hAnsi="Times New Roman" w:cs="Times New Roman" w:hint="eastAsia"/>
          <w:sz w:val="36"/>
        </w:rPr>
        <w:t>s</w:t>
      </w:r>
    </w:p>
    <w:p w14:paraId="1CE6C6AF" w14:textId="77777777" w:rsidR="00C414C3" w:rsidRPr="009B196C" w:rsidRDefault="00C414C3" w:rsidP="00C06BDD">
      <w:pPr>
        <w:pStyle w:val="ListParagraph"/>
        <w:numPr>
          <w:ilvl w:val="0"/>
          <w:numId w:val="8"/>
        </w:numPr>
        <w:ind w:firstLineChars="0"/>
        <w:rPr>
          <w:rFonts w:ascii="Arial Unicode MS" w:eastAsia="Arial Unicode MS" w:hAnsi="Arial Unicode MS" w:cs="Arial Unicode MS"/>
          <w:sz w:val="32"/>
        </w:rPr>
      </w:pPr>
      <w:r w:rsidRPr="009B196C">
        <w:rPr>
          <w:rFonts w:ascii="Arial Unicode MS" w:eastAsia="Arial Unicode MS" w:hAnsi="Arial Unicode MS" w:cs="Arial Unicode MS"/>
          <w:sz w:val="32"/>
        </w:rPr>
        <w:t>Introduction</w:t>
      </w:r>
    </w:p>
    <w:p w14:paraId="5C60E59D" w14:textId="77777777" w:rsidR="00E07618" w:rsidRPr="00E07618" w:rsidRDefault="00F9771F" w:rsidP="00F9771F">
      <w:pPr>
        <w:ind w:firstLine="420"/>
        <w:rPr>
          <w:rFonts w:ascii="Arial Unicode MS" w:eastAsia="Arial Unicode MS" w:hAnsi="Arial Unicode MS" w:cs="Arial Unicode MS"/>
        </w:rPr>
      </w:pPr>
      <w:r w:rsidRPr="00F9771F">
        <w:rPr>
          <w:rFonts w:ascii="Arial Unicode MS" w:eastAsia="Arial Unicode MS" w:hAnsi="Arial Unicode MS" w:cs="Arial Unicode MS"/>
        </w:rPr>
        <w:t>Using the 318 cities</w:t>
      </w:r>
      <w:r>
        <w:rPr>
          <w:rFonts w:ascii="Arial Unicode MS" w:eastAsia="Arial Unicode MS" w:hAnsi="Arial Unicode MS" w:cs="Arial Unicode MS" w:hint="eastAsia"/>
        </w:rPr>
        <w:t xml:space="preserve"> from USA</w:t>
      </w:r>
      <w:r w:rsidRPr="00F9771F">
        <w:rPr>
          <w:rFonts w:ascii="Arial Unicode MS" w:eastAsia="Arial Unicode MS" w:hAnsi="Arial Unicode MS" w:cs="Arial Unicode MS"/>
        </w:rPr>
        <w:t xml:space="preserve"> in 2015 and 2016 </w:t>
      </w:r>
      <w:r>
        <w:rPr>
          <w:rFonts w:ascii="Arial Unicode MS" w:eastAsia="Arial Unicode MS" w:hAnsi="Arial Unicode MS" w:cs="Arial Unicode MS" w:hint="eastAsia"/>
        </w:rPr>
        <w:t>household</w:t>
      </w:r>
      <w:r w:rsidR="00CB33DC">
        <w:rPr>
          <w:rFonts w:ascii="Arial Unicode MS" w:eastAsia="Arial Unicode MS" w:hAnsi="Arial Unicode MS" w:cs="Arial Unicode MS"/>
        </w:rPr>
        <w:t xml:space="preserve"> car ownership </w:t>
      </w:r>
      <w:r w:rsidRPr="00F9771F">
        <w:rPr>
          <w:rFonts w:ascii="Arial Unicode MS" w:eastAsia="Arial Unicode MS" w:hAnsi="Arial Unicode MS" w:cs="Arial Unicode MS"/>
        </w:rPr>
        <w:t xml:space="preserve">and </w:t>
      </w:r>
      <w:r>
        <w:rPr>
          <w:rFonts w:ascii="Arial Unicode MS" w:eastAsia="Arial Unicode MS" w:hAnsi="Arial Unicode MS" w:cs="Arial Unicode MS"/>
        </w:rPr>
        <w:t>percentage of all household</w:t>
      </w:r>
      <w:r>
        <w:rPr>
          <w:rFonts w:ascii="Arial Unicode MS" w:eastAsia="Arial Unicode MS" w:hAnsi="Arial Unicode MS" w:cs="Arial Unicode MS" w:hint="eastAsia"/>
        </w:rPr>
        <w:t xml:space="preserve"> without </w:t>
      </w:r>
      <w:r w:rsidR="00BA03F0">
        <w:rPr>
          <w:rFonts w:ascii="Arial Unicode MS" w:eastAsia="Arial Unicode MS" w:hAnsi="Arial Unicode MS" w:cs="Arial Unicode MS" w:hint="eastAsia"/>
        </w:rPr>
        <w:t>vehicles</w:t>
      </w:r>
      <w:r w:rsidRPr="00F9771F"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 w:hint="eastAsia"/>
        </w:rPr>
        <w:t xml:space="preserve">to work on </w:t>
      </w:r>
      <w:r w:rsidRPr="00F9771F">
        <w:rPr>
          <w:rFonts w:ascii="Arial Unicode MS" w:eastAsia="Arial Unicode MS" w:hAnsi="Arial Unicode MS" w:cs="Arial Unicode MS"/>
        </w:rPr>
        <w:t>their frequency distribution and cumulative frequency, abs</w:t>
      </w:r>
      <w:r>
        <w:rPr>
          <w:rFonts w:ascii="Arial Unicode MS" w:eastAsia="Arial Unicode MS" w:hAnsi="Arial Unicode MS" w:cs="Arial Unicode MS"/>
        </w:rPr>
        <w:t>olute and relative changes etc.</w:t>
      </w:r>
      <w:r w:rsidR="00C439E3">
        <w:rPr>
          <w:rFonts w:ascii="Arial Unicode MS" w:eastAsia="Arial Unicode MS" w:hAnsi="Arial Unicode MS" w:cs="Arial Unicode MS" w:hint="eastAsia"/>
        </w:rPr>
        <w:t xml:space="preserve"> with various charts</w:t>
      </w:r>
      <w:r>
        <w:rPr>
          <w:rFonts w:ascii="Arial Unicode MS" w:eastAsia="Arial Unicode MS" w:hAnsi="Arial Unicode MS" w:cs="Arial Unicode MS" w:hint="eastAsia"/>
        </w:rPr>
        <w:t>,</w:t>
      </w:r>
      <w:r w:rsidRPr="00F9771F">
        <w:rPr>
          <w:rFonts w:ascii="Arial Unicode MS" w:eastAsia="Arial Unicode MS" w:hAnsi="Arial Unicode MS" w:cs="Arial Unicode MS"/>
        </w:rPr>
        <w:t xml:space="preserve"> contr</w:t>
      </w:r>
      <w:r w:rsidR="00C439E3">
        <w:rPr>
          <w:rFonts w:ascii="Arial Unicode MS" w:eastAsia="Arial Unicode MS" w:hAnsi="Arial Unicode MS" w:cs="Arial Unicode MS"/>
        </w:rPr>
        <w:t>asted the scatterplot</w:t>
      </w:r>
      <w:r w:rsidR="00C439E3">
        <w:rPr>
          <w:rFonts w:ascii="Arial Unicode MS" w:eastAsia="Arial Unicode MS" w:hAnsi="Arial Unicode MS" w:cs="Arial Unicode MS" w:hint="eastAsia"/>
        </w:rPr>
        <w:t xml:space="preserve"> and calculated</w:t>
      </w:r>
      <w:r w:rsidR="00C439E3" w:rsidRPr="00F9771F">
        <w:rPr>
          <w:rFonts w:ascii="Arial Unicode MS" w:eastAsia="Arial Unicode MS" w:hAnsi="Arial Unicode MS" w:cs="Arial Unicode MS"/>
        </w:rPr>
        <w:t xml:space="preserve"> common description statistics and</w:t>
      </w:r>
      <w:r w:rsidR="00C439E3">
        <w:rPr>
          <w:rFonts w:ascii="Arial Unicode MS" w:eastAsia="Arial Unicode MS" w:hAnsi="Arial Unicode MS" w:cs="Arial Unicode MS"/>
        </w:rPr>
        <w:t>, tr</w:t>
      </w:r>
      <w:r w:rsidR="00C439E3">
        <w:rPr>
          <w:rFonts w:ascii="Arial Unicode MS" w:eastAsia="Arial Unicode MS" w:hAnsi="Arial Unicode MS" w:cs="Arial Unicode MS" w:hint="eastAsia"/>
        </w:rPr>
        <w:t>ied</w:t>
      </w:r>
      <w:r w:rsidRPr="00F9771F">
        <w:rPr>
          <w:rFonts w:ascii="Arial Unicode MS" w:eastAsia="Arial Unicode MS" w:hAnsi="Arial Unicode MS" w:cs="Arial Unicode MS"/>
        </w:rPr>
        <w:t xml:space="preserve"> to analysis the </w:t>
      </w:r>
      <w:r w:rsidR="00C06BDD">
        <w:rPr>
          <w:rFonts w:ascii="Arial Unicode MS" w:eastAsia="Arial Unicode MS" w:hAnsi="Arial Unicode MS" w:cs="Arial Unicode MS" w:hint="eastAsia"/>
        </w:rPr>
        <w:t>outliers</w:t>
      </w:r>
      <w:r w:rsidRPr="00F9771F">
        <w:rPr>
          <w:rFonts w:ascii="Arial Unicode MS" w:eastAsia="Arial Unicode MS" w:hAnsi="Arial Unicode MS" w:cs="Arial Unicode MS"/>
        </w:rPr>
        <w:t xml:space="preserve">. </w:t>
      </w:r>
      <w:r w:rsidR="00C06BDD" w:rsidRPr="00C06BDD">
        <w:rPr>
          <w:rFonts w:ascii="Arial Unicode MS" w:eastAsia="Arial Unicode MS" w:hAnsi="Arial Unicode MS" w:cs="Arial Unicode MS"/>
        </w:rPr>
        <w:t>According to the analysis of the content is given the corresponding conclusion</w:t>
      </w:r>
      <w:r w:rsidR="00C06BDD">
        <w:rPr>
          <w:rFonts w:ascii="Arial Unicode MS" w:eastAsia="Arial Unicode MS" w:hAnsi="Arial Unicode MS" w:cs="Arial Unicode MS" w:hint="eastAsia"/>
        </w:rPr>
        <w:t>.</w:t>
      </w:r>
    </w:p>
    <w:p w14:paraId="0C55A12A" w14:textId="77777777" w:rsidR="00E07618" w:rsidRPr="009B196C" w:rsidRDefault="00C414C3" w:rsidP="00E07618">
      <w:pPr>
        <w:pStyle w:val="ListParagraph"/>
        <w:numPr>
          <w:ilvl w:val="0"/>
          <w:numId w:val="8"/>
        </w:numPr>
        <w:ind w:firstLineChars="0"/>
        <w:rPr>
          <w:rFonts w:ascii="Arial Unicode MS" w:eastAsia="Arial Unicode MS" w:hAnsi="Arial Unicode MS" w:cs="Arial Unicode MS"/>
          <w:sz w:val="32"/>
        </w:rPr>
      </w:pPr>
      <w:r w:rsidRPr="009B196C">
        <w:rPr>
          <w:rFonts w:ascii="Arial Unicode MS" w:eastAsia="Arial Unicode MS" w:hAnsi="Arial Unicode MS" w:cs="Arial Unicode MS"/>
          <w:sz w:val="32"/>
        </w:rPr>
        <w:t>Analysis</w:t>
      </w:r>
    </w:p>
    <w:p w14:paraId="4C1475AA" w14:textId="77777777" w:rsidR="00E07618" w:rsidRPr="00E07618" w:rsidRDefault="00E07618" w:rsidP="00E07618">
      <w:pPr>
        <w:pStyle w:val="ListParagraph"/>
        <w:numPr>
          <w:ilvl w:val="0"/>
          <w:numId w:val="11"/>
        </w:numPr>
        <w:ind w:firstLineChars="0"/>
        <w:rPr>
          <w:rFonts w:ascii="Arial Unicode MS" w:eastAsia="Arial Unicode MS" w:hAnsi="Arial Unicode MS" w:cs="Arial Unicode MS"/>
        </w:rPr>
      </w:pPr>
      <w:r w:rsidRPr="00E07618">
        <w:rPr>
          <w:rFonts w:ascii="Arial Unicode MS" w:eastAsia="Arial Unicode MS" w:hAnsi="Arial Unicode MS" w:cs="Arial Unicode MS"/>
        </w:rPr>
        <w:t xml:space="preserve">Household without </w:t>
      </w:r>
      <w:r w:rsidR="00BA03F0">
        <w:rPr>
          <w:rFonts w:ascii="Arial Unicode MS" w:eastAsia="Arial Unicode MS" w:hAnsi="Arial Unicode MS" w:cs="Arial Unicode MS"/>
        </w:rPr>
        <w:t>vehicle</w:t>
      </w:r>
      <w:r w:rsidRPr="00E07618">
        <w:rPr>
          <w:rFonts w:ascii="Arial Unicode MS" w:eastAsia="Arial Unicode MS" w:hAnsi="Arial Unicode MS" w:cs="Arial Unicode MS"/>
        </w:rPr>
        <w:t>s(2015-2016)----(Q2 Q6 Q5 Q4)</w:t>
      </w:r>
    </w:p>
    <w:p w14:paraId="47F2D772" w14:textId="77777777" w:rsidR="00E07618" w:rsidRPr="00E07618" w:rsidRDefault="00BA03F0" w:rsidP="00E07618">
      <w:pPr>
        <w:pStyle w:val="ListParagraph"/>
        <w:numPr>
          <w:ilvl w:val="0"/>
          <w:numId w:val="11"/>
        </w:numPr>
        <w:ind w:firstLine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Vehicle</w:t>
      </w:r>
      <w:r w:rsidR="00E07618" w:rsidRPr="00E07618">
        <w:rPr>
          <w:rFonts w:ascii="Arial Unicode MS" w:eastAsia="Arial Unicode MS" w:hAnsi="Arial Unicode MS" w:cs="Arial Unicode MS"/>
        </w:rPr>
        <w:t>s per House(2015-1016)-----(Q7)</w:t>
      </w:r>
    </w:p>
    <w:p w14:paraId="4A3FFE57" w14:textId="77777777" w:rsidR="00E07618" w:rsidRPr="00C414C3" w:rsidRDefault="00E07618" w:rsidP="00E07618">
      <w:pPr>
        <w:ind w:firstLine="420"/>
        <w:rPr>
          <w:rFonts w:ascii="Arial Unicode MS" w:eastAsia="Arial Unicode MS" w:hAnsi="Arial Unicode MS" w:cs="Arial Unicode MS"/>
          <w:b/>
        </w:rPr>
      </w:pPr>
      <w:r w:rsidRPr="00C414C3">
        <w:rPr>
          <w:rFonts w:ascii="Arial Unicode MS" w:eastAsia="Arial Unicode MS" w:hAnsi="Arial Unicode MS" w:cs="Arial Unicode MS" w:hint="eastAsia"/>
          <w:b/>
        </w:rPr>
        <w:t>Q2</w:t>
      </w:r>
    </w:p>
    <w:p w14:paraId="140D25DA" w14:textId="77777777" w:rsidR="00E07618" w:rsidRDefault="00E07618" w:rsidP="00E0761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3EBCC" wp14:editId="6469DC1B">
                <wp:simplePos x="0" y="0"/>
                <wp:positionH relativeFrom="column">
                  <wp:posOffset>266700</wp:posOffset>
                </wp:positionH>
                <wp:positionV relativeFrom="paragraph">
                  <wp:posOffset>10160</wp:posOffset>
                </wp:positionV>
                <wp:extent cx="4787900" cy="508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4F81BD">
                              <a:alpha val="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3CE005A4" w14:textId="77777777" w:rsidR="00E07618" w:rsidRPr="00C414C3" w:rsidRDefault="00E07618" w:rsidP="00E07618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>D</w:t>
                            </w:r>
                            <w:r w:rsidRPr="00C414C3">
                              <w:rPr>
                                <w:rFonts w:ascii="Arial Unicode MS" w:eastAsia="Arial Unicode MS" w:hAnsi="Arial Unicode MS" w:cs="Arial Unicode MS"/>
                              </w:rPr>
                              <w:t>istribution of</w:t>
                            </w:r>
                            <w:r w:rsidRPr="00C414C3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 xml:space="preserve"> </w:t>
                            </w:r>
                            <w:r w:rsidRPr="00C414C3">
                              <w:rPr>
                                <w:rFonts w:ascii="Arial Unicode MS" w:eastAsia="Arial Unicode MS" w:hAnsi="Arial Unicode MS" w:cs="Arial Unicode MS"/>
                              </w:rPr>
                              <w:t xml:space="preserve">2016 percentage of households without </w:t>
                            </w:r>
                            <w:r w:rsidR="00BA03F0">
                              <w:rPr>
                                <w:rFonts w:ascii="Arial Unicode MS" w:eastAsia="Arial Unicode MS" w:hAnsi="Arial Unicode MS" w:cs="Arial Unicode MS"/>
                              </w:rPr>
                              <w:t>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3EBC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pt;margin-top:.8pt;width:377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" filled="f" strokecolor="#4f81bd" strokeweight=".5pt">
                <v:stroke opacity="0"/>
                <v:textbox>
                  <w:txbxContent>
                    <w:p w14:paraId="3CE005A4" w14:textId="77777777" w:rsidR="00E07618" w:rsidRPr="00C414C3" w:rsidRDefault="00E07618" w:rsidP="00E07618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</w:rPr>
                        <w:t>D</w:t>
                      </w:r>
                      <w:r w:rsidRPr="00C414C3">
                        <w:rPr>
                          <w:rFonts w:ascii="Arial Unicode MS" w:eastAsia="Arial Unicode MS" w:hAnsi="Arial Unicode MS" w:cs="Arial Unicode MS"/>
                        </w:rPr>
                        <w:t>istribution of</w:t>
                      </w:r>
                      <w:r w:rsidRPr="00C414C3">
                        <w:rPr>
                          <w:rFonts w:ascii="Arial Unicode MS" w:eastAsia="Arial Unicode MS" w:hAnsi="Arial Unicode MS" w:cs="Arial Unicode MS" w:hint="eastAsia"/>
                        </w:rPr>
                        <w:t xml:space="preserve"> </w:t>
                      </w:r>
                      <w:r w:rsidRPr="00C414C3">
                        <w:rPr>
                          <w:rFonts w:ascii="Arial Unicode MS" w:eastAsia="Arial Unicode MS" w:hAnsi="Arial Unicode MS" w:cs="Arial Unicode MS"/>
                        </w:rPr>
                        <w:t xml:space="preserve">2016 percentage of households without </w:t>
                      </w:r>
                      <w:r w:rsidR="00BA03F0">
                        <w:rPr>
                          <w:rFonts w:ascii="Arial Unicode MS" w:eastAsia="Arial Unicode MS" w:hAnsi="Arial Unicode MS" w:cs="Arial Unicode MS"/>
                        </w:rPr>
                        <w:t>vehicles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2DE055" wp14:editId="170405A2">
            <wp:extent cx="5049520" cy="2794000"/>
            <wp:effectExtent l="0" t="0" r="17780" b="2540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hint="eastAsia"/>
        </w:rPr>
        <w:t xml:space="preserve">    </w:t>
      </w:r>
    </w:p>
    <w:p w14:paraId="5771D24B" w14:textId="77777777" w:rsidR="00E07618" w:rsidRPr="00920411" w:rsidRDefault="00E07618" w:rsidP="00E07618">
      <w:pPr>
        <w:ind w:firstLine="420"/>
        <w:rPr>
          <w:rFonts w:ascii="Arial Unicode MS" w:eastAsia="Arial Unicode MS" w:hAnsi="Arial Unicode MS" w:cs="Arial Unicode MS"/>
        </w:rPr>
      </w:pPr>
      <w:r w:rsidRPr="00920411">
        <w:rPr>
          <w:rFonts w:ascii="Arial Unicode MS" w:eastAsia="Arial Unicode MS" w:hAnsi="Arial Unicode MS" w:cs="Arial Unicode MS" w:hint="eastAsia"/>
        </w:rPr>
        <w:t>This is a positive skewed curve，</w:t>
      </w:r>
      <w:r>
        <w:rPr>
          <w:rFonts w:ascii="Arial Unicode MS" w:eastAsia="Arial Unicode MS" w:hAnsi="Arial Unicode MS" w:cs="Arial Unicode MS" w:hint="eastAsia"/>
        </w:rPr>
        <w:t xml:space="preserve">also called a right skewed curve. </w:t>
      </w:r>
      <w:r w:rsidRPr="00D03F53">
        <w:rPr>
          <w:rFonts w:ascii="Arial Unicode MS" w:eastAsia="Arial Unicode MS" w:hAnsi="Arial Unicode MS" w:cs="Arial Unicode MS"/>
        </w:rPr>
        <w:t xml:space="preserve">In </w:t>
      </w:r>
      <w:r w:rsidRPr="00D03F53">
        <w:rPr>
          <w:rFonts w:ascii="Arial Unicode MS" w:eastAsia="Arial Unicode MS" w:hAnsi="Arial Unicode MS" w:cs="Arial Unicode MS"/>
        </w:rPr>
        <w:lastRenderedPageBreak/>
        <w:t xml:space="preserve">2016, 77 of the U.S. cities listed in the data sheet had </w:t>
      </w:r>
      <w:r>
        <w:rPr>
          <w:rFonts w:ascii="Arial Unicode MS" w:eastAsia="Arial Unicode MS" w:hAnsi="Arial Unicode MS" w:cs="Arial Unicode MS" w:hint="eastAsia"/>
        </w:rPr>
        <w:t>a</w:t>
      </w:r>
      <w:r w:rsidRPr="00D03F53">
        <w:rPr>
          <w:rFonts w:ascii="Arial Unicode MS" w:eastAsia="Arial Unicode MS" w:hAnsi="Arial Unicode MS" w:cs="Arial Unicode MS"/>
        </w:rPr>
        <w:t xml:space="preserve"> rate</w:t>
      </w:r>
      <w:r>
        <w:rPr>
          <w:rFonts w:ascii="Arial Unicode MS" w:eastAsia="Arial Unicode MS" w:hAnsi="Arial Unicode MS" w:cs="Arial Unicode MS" w:hint="eastAsia"/>
        </w:rPr>
        <w:t xml:space="preserve"> of 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 w:hint="eastAsia"/>
        </w:rPr>
        <w:t>%-</w:t>
      </w:r>
      <w:r>
        <w:rPr>
          <w:rFonts w:ascii="Arial Unicode MS" w:eastAsia="Arial Unicode MS" w:hAnsi="Arial Unicode MS" w:cs="Arial Unicode MS"/>
        </w:rPr>
        <w:t xml:space="preserve"> 7.5</w:t>
      </w:r>
      <w:r>
        <w:rPr>
          <w:rFonts w:ascii="Arial Unicode MS" w:eastAsia="Arial Unicode MS" w:hAnsi="Arial Unicode MS" w:cs="Arial Unicode MS" w:hint="eastAsia"/>
        </w:rPr>
        <w:t xml:space="preserve">% of household without </w:t>
      </w:r>
      <w:r w:rsidR="00BA03F0">
        <w:rPr>
          <w:rFonts w:ascii="Arial Unicode MS" w:eastAsia="Arial Unicode MS" w:hAnsi="Arial Unicode MS" w:cs="Arial Unicode MS" w:hint="eastAsia"/>
        </w:rPr>
        <w:t>vehicle</w:t>
      </w:r>
      <w:r>
        <w:rPr>
          <w:rFonts w:ascii="Arial Unicode MS" w:eastAsia="Arial Unicode MS" w:hAnsi="Arial Unicode MS" w:cs="Arial Unicode MS" w:hint="eastAsia"/>
        </w:rPr>
        <w:t>s, which is the most common relative frequency percentage. The curve has a relative high starting point</w:t>
      </w:r>
      <w:r w:rsidR="00F9771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(20 of frequency value) ,</w:t>
      </w:r>
      <w:r w:rsidR="00F9771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and surges within the following two units of percentage stratum:67 cities have 2.5% - 5% of household without </w:t>
      </w:r>
      <w:r w:rsidR="00BA03F0">
        <w:rPr>
          <w:rFonts w:ascii="Arial Unicode MS" w:eastAsia="Arial Unicode MS" w:hAnsi="Arial Unicode MS" w:cs="Arial Unicode MS" w:hint="eastAsia"/>
        </w:rPr>
        <w:t>vehicles</w:t>
      </w:r>
      <w:r>
        <w:rPr>
          <w:rFonts w:ascii="Arial Unicode MS" w:eastAsia="Arial Unicode MS" w:hAnsi="Arial Unicode MS" w:cs="Arial Unicode MS" w:hint="eastAsia"/>
        </w:rPr>
        <w:t xml:space="preserve">. </w:t>
      </w:r>
      <w:r w:rsidRPr="00D03F53">
        <w:rPr>
          <w:rFonts w:ascii="Arial Unicode MS" w:eastAsia="Arial Unicode MS" w:hAnsi="Arial Unicode MS" w:cs="Arial Unicode MS"/>
        </w:rPr>
        <w:t>77 of the U.S. cities listed in the data sheet had a rate of 5%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D03F53">
        <w:rPr>
          <w:rFonts w:ascii="Arial Unicode MS" w:eastAsia="Arial Unicode MS" w:hAnsi="Arial Unicode MS" w:cs="Arial Unicode MS"/>
        </w:rPr>
        <w:t>- 7.5% of household</w:t>
      </w:r>
      <w:r>
        <w:rPr>
          <w:rFonts w:ascii="Arial Unicode MS" w:eastAsia="Arial Unicode MS" w:hAnsi="Arial Unicode MS" w:cs="Arial Unicode MS" w:hint="eastAsia"/>
        </w:rPr>
        <w:t>s</w:t>
      </w:r>
      <w:r w:rsidRPr="00D03F53">
        <w:rPr>
          <w:rFonts w:ascii="Arial Unicode MS" w:eastAsia="Arial Unicode MS" w:hAnsi="Arial Unicode MS" w:cs="Arial Unicode MS"/>
        </w:rPr>
        <w:t xml:space="preserve"> without </w:t>
      </w:r>
      <w:r w:rsidR="00BA03F0">
        <w:rPr>
          <w:rFonts w:ascii="Arial Unicode MS" w:eastAsia="Arial Unicode MS" w:hAnsi="Arial Unicode MS" w:cs="Arial Unicode MS"/>
        </w:rPr>
        <w:t>vehicle</w:t>
      </w:r>
      <w:r w:rsidRPr="00D03F53">
        <w:rPr>
          <w:rFonts w:ascii="Arial Unicode MS" w:eastAsia="Arial Unicode MS" w:hAnsi="Arial Unicode MS" w:cs="Arial Unicode MS"/>
        </w:rPr>
        <w:t>s, which is the most common relative frequency percentage.</w:t>
      </w:r>
      <w:r>
        <w:rPr>
          <w:rFonts w:ascii="Arial Unicode MS" w:eastAsia="Arial Unicode MS" w:hAnsi="Arial Unicode MS" w:cs="Arial Unicode MS" w:hint="eastAsia"/>
        </w:rPr>
        <w:t xml:space="preserve"> On the part of m</w:t>
      </w:r>
      <w:r>
        <w:rPr>
          <w:rFonts w:ascii="Arial Unicode MS" w:eastAsia="Arial Unicode MS" w:hAnsi="Arial Unicode MS" w:cs="Arial Unicode MS"/>
        </w:rPr>
        <w:t>ore than 5% - 7</w:t>
      </w:r>
      <w:r>
        <w:rPr>
          <w:rFonts w:ascii="Arial Unicode MS" w:eastAsia="Arial Unicode MS" w:hAnsi="Arial Unicode MS" w:cs="Arial Unicode MS" w:hint="eastAsia"/>
        </w:rPr>
        <w:t>.5%, t</w:t>
      </w:r>
      <w:r w:rsidRPr="00D03F53">
        <w:rPr>
          <w:rFonts w:ascii="Arial Unicode MS" w:eastAsia="Arial Unicode MS" w:hAnsi="Arial Unicode MS" w:cs="Arial Unicode MS"/>
        </w:rPr>
        <w:t xml:space="preserve">he </w:t>
      </w:r>
      <w:r>
        <w:rPr>
          <w:rFonts w:ascii="Arial Unicode MS" w:eastAsia="Arial Unicode MS" w:hAnsi="Arial Unicode MS" w:cs="Arial Unicode MS" w:hint="eastAsia"/>
        </w:rPr>
        <w:t>rate</w:t>
      </w:r>
      <w:r>
        <w:rPr>
          <w:rFonts w:ascii="Arial Unicode MS" w:eastAsia="Arial Unicode MS" w:hAnsi="Arial Unicode MS" w:cs="Arial Unicode MS"/>
        </w:rPr>
        <w:t xml:space="preserve"> </w:t>
      </w:r>
      <w:r w:rsidRPr="00D03F53">
        <w:rPr>
          <w:rFonts w:ascii="Arial Unicode MS" w:eastAsia="Arial Unicode MS" w:hAnsi="Arial Unicode MS" w:cs="Arial Unicode MS"/>
        </w:rPr>
        <w:t>is more fragmented</w:t>
      </w:r>
      <w:r>
        <w:rPr>
          <w:rFonts w:ascii="Arial Unicode MS" w:eastAsia="Arial Unicode MS" w:hAnsi="Arial Unicode MS" w:cs="Arial Unicode MS" w:hint="eastAsia"/>
        </w:rPr>
        <w:t xml:space="preserve">. </w:t>
      </w:r>
      <w:r>
        <w:rPr>
          <w:rFonts w:ascii="Arial Unicode MS" w:eastAsia="Arial Unicode MS" w:hAnsi="Arial Unicode MS" w:cs="Arial Unicode MS"/>
        </w:rPr>
        <w:t>Especially after 1</w:t>
      </w:r>
      <w:r>
        <w:rPr>
          <w:rFonts w:ascii="Arial Unicode MS" w:eastAsia="Arial Unicode MS" w:hAnsi="Arial Unicode MS" w:cs="Arial Unicode MS" w:hint="eastAsia"/>
        </w:rPr>
        <w:t>2.</w:t>
      </w:r>
      <w:r w:rsidRPr="00D03F53">
        <w:rPr>
          <w:rFonts w:ascii="Arial Unicode MS" w:eastAsia="Arial Unicode MS" w:hAnsi="Arial Unicode MS" w:cs="Arial Unicode MS"/>
        </w:rPr>
        <w:t>5%,</w:t>
      </w:r>
      <w:r>
        <w:rPr>
          <w:rFonts w:ascii="Arial Unicode MS" w:eastAsia="Arial Unicode MS" w:hAnsi="Arial Unicode MS" w:cs="Arial Unicode MS" w:hint="eastAsia"/>
        </w:rPr>
        <w:t xml:space="preserve"> the curve drops fast </w:t>
      </w:r>
      <w:r>
        <w:rPr>
          <w:rFonts w:ascii="Arial Unicode MS" w:eastAsia="Arial Unicode MS" w:hAnsi="Arial Unicode MS" w:cs="Arial Unicode MS"/>
        </w:rPr>
        <w:t>below 10</w:t>
      </w:r>
      <w:r>
        <w:rPr>
          <w:rFonts w:ascii="Arial Unicode MS" w:eastAsia="Arial Unicode MS" w:hAnsi="Arial Unicode MS" w:cs="Arial Unicode MS" w:hint="eastAsia"/>
        </w:rPr>
        <w:t xml:space="preserve">. And </w:t>
      </w:r>
      <w:r w:rsidRPr="00D03F53">
        <w:rPr>
          <w:rFonts w:ascii="Arial Unicode MS" w:eastAsia="Arial Unicode MS" w:hAnsi="Arial Unicode MS" w:cs="Arial Unicode MS"/>
        </w:rPr>
        <w:t>the cumulative percentage of households without a car in these cities is 13.56%</w:t>
      </w:r>
      <w:r>
        <w:rPr>
          <w:rFonts w:ascii="Arial Unicode MS" w:eastAsia="Arial Unicode MS" w:hAnsi="Arial Unicode MS" w:cs="Arial Unicode MS" w:hint="eastAsia"/>
        </w:rPr>
        <w:t>,</w:t>
      </w:r>
      <w:r w:rsidRPr="00D03F53">
        <w:rPr>
          <w:rFonts w:ascii="Arial Unicode MS" w:eastAsia="Arial Unicode MS" w:hAnsi="Arial Unicode MS" w:cs="Arial Unicode MS"/>
        </w:rPr>
        <w:t xml:space="preserve"> which is significantly lower than </w:t>
      </w:r>
      <w:r>
        <w:rPr>
          <w:rFonts w:ascii="Arial Unicode MS" w:eastAsia="Arial Unicode MS" w:hAnsi="Arial Unicode MS" w:cs="Arial Unicode MS" w:hint="eastAsia"/>
        </w:rPr>
        <w:t xml:space="preserve">the previous percentage. </w:t>
      </w:r>
    </w:p>
    <w:p w14:paraId="449D66A1" w14:textId="77777777" w:rsidR="00E07618" w:rsidRDefault="00E07618" w:rsidP="00E07618">
      <w:pPr>
        <w:ind w:firstLine="4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Especially, there is one city with 52.5% - 55% of households without a car at the end of the curve, which is far away from the percentage stratum where other cities belong.</w:t>
      </w:r>
    </w:p>
    <w:p w14:paraId="65771118" w14:textId="77777777" w:rsidR="00E07618" w:rsidRPr="00C414C3" w:rsidRDefault="00E07618" w:rsidP="00E07618">
      <w:pPr>
        <w:ind w:firstLine="420"/>
        <w:rPr>
          <w:rFonts w:ascii="Arial Unicode MS" w:eastAsia="Arial Unicode MS" w:hAnsi="Arial Unicode MS" w:cs="Arial Unicode MS"/>
          <w:b/>
        </w:rPr>
      </w:pPr>
      <w:r w:rsidRPr="00C414C3">
        <w:rPr>
          <w:rFonts w:ascii="Arial Unicode MS" w:eastAsia="Arial Unicode MS" w:hAnsi="Arial Unicode MS" w:cs="Arial Unicode MS" w:hint="eastAsia"/>
          <w:b/>
        </w:rPr>
        <w:t>Q6</w:t>
      </w:r>
    </w:p>
    <w:p w14:paraId="23D7A10F" w14:textId="77777777" w:rsidR="00E07618" w:rsidRDefault="00E07618" w:rsidP="00E07618">
      <w:pPr>
        <w:ind w:firstLine="420"/>
        <w:rPr>
          <w:rFonts w:ascii="Arial Unicode MS" w:eastAsia="Arial Unicode MS" w:hAnsi="Arial Unicode MS" w:cs="Arial Unicode MS"/>
        </w:rPr>
      </w:pPr>
      <w:r>
        <w:rPr>
          <w:noProof/>
        </w:rPr>
        <w:lastRenderedPageBreak/>
        <w:drawing>
          <wp:inline distT="0" distB="0" distL="0" distR="0" wp14:anchorId="1058C8C8" wp14:editId="391B6B96">
            <wp:extent cx="5128591" cy="3233530"/>
            <wp:effectExtent l="0" t="0" r="15240" b="2413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24A8009" w14:textId="77777777" w:rsidR="00E07618" w:rsidRDefault="00E07618" w:rsidP="00E07618">
      <w:pPr>
        <w:ind w:firstLine="420"/>
        <w:rPr>
          <w:rFonts w:ascii="Arial Unicode MS" w:eastAsia="Arial Unicode MS" w:hAnsi="Arial Unicode MS" w:cs="Arial Unicode MS"/>
        </w:rPr>
      </w:pPr>
    </w:p>
    <w:p w14:paraId="1F1EACF7" w14:textId="77777777" w:rsidR="00E07618" w:rsidRDefault="00E07618" w:rsidP="00E07618">
      <w:pPr>
        <w:ind w:firstLine="420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6BFB258B" wp14:editId="1CDC2D59">
            <wp:extent cx="4884821" cy="3240505"/>
            <wp:effectExtent l="0" t="0" r="11430" b="1714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DE5572" w14:textId="77777777" w:rsidR="00E07618" w:rsidRDefault="00E07618" w:rsidP="00E07618">
      <w:pPr>
        <w:ind w:firstLine="4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The </w:t>
      </w:r>
      <w:r w:rsidRPr="00D03F53">
        <w:rPr>
          <w:rFonts w:ascii="Arial Unicode MS" w:eastAsia="Arial Unicode MS" w:hAnsi="Arial Unicode MS" w:cs="Arial Unicode MS"/>
        </w:rPr>
        <w:t>similarities</w:t>
      </w:r>
      <w:r>
        <w:rPr>
          <w:rFonts w:ascii="Arial Unicode MS" w:eastAsia="Arial Unicode MS" w:hAnsi="Arial Unicode MS" w:cs="Arial Unicode MS" w:hint="eastAsia"/>
        </w:rPr>
        <w:t xml:space="preserve"> are apparent. </w:t>
      </w:r>
      <w:r w:rsidRPr="00D03F53">
        <w:rPr>
          <w:rFonts w:ascii="Arial Unicode MS" w:eastAsia="Arial Unicode MS" w:hAnsi="Arial Unicode MS" w:cs="Arial Unicode MS"/>
        </w:rPr>
        <w:t>Because the data for each city is correlated in time, the curve shape of the two years roughly coincides, which means that the proport</w:t>
      </w:r>
      <w:r>
        <w:rPr>
          <w:rFonts w:ascii="Arial Unicode MS" w:eastAsia="Arial Unicode MS" w:hAnsi="Arial Unicode MS" w:cs="Arial Unicode MS"/>
        </w:rPr>
        <w:t xml:space="preserve">ion of households without cars </w:t>
      </w:r>
      <w:r>
        <w:rPr>
          <w:rFonts w:ascii="Arial Unicode MS" w:eastAsia="Arial Unicode MS" w:hAnsi="Arial Unicode MS" w:cs="Arial Unicode MS" w:hint="eastAsia"/>
        </w:rPr>
        <w:t>has</w:t>
      </w:r>
      <w:r w:rsidRPr="00D03F53">
        <w:rPr>
          <w:rFonts w:ascii="Arial Unicode MS" w:eastAsia="Arial Unicode MS" w:hAnsi="Arial Unicode MS" w:cs="Arial Unicode MS"/>
        </w:rPr>
        <w:t xml:space="preserve"> roughly the same distribution. At </w:t>
      </w:r>
      <w:r>
        <w:rPr>
          <w:rFonts w:ascii="Arial Unicode MS" w:eastAsia="Arial Unicode MS" w:hAnsi="Arial Unicode MS" w:cs="Arial Unicode MS" w:hint="eastAsia"/>
        </w:rPr>
        <w:t>stratum</w:t>
      </w:r>
      <w:r w:rsidRPr="00D03F53">
        <w:rPr>
          <w:rFonts w:ascii="Arial Unicode MS" w:eastAsia="Arial Unicode MS" w:hAnsi="Arial Unicode MS" w:cs="Arial Unicode MS"/>
        </w:rPr>
        <w:t xml:space="preserve"> below 2.5</w:t>
      </w:r>
      <w:r>
        <w:rPr>
          <w:rFonts w:ascii="Arial Unicode MS" w:eastAsia="Arial Unicode MS" w:hAnsi="Arial Unicode MS" w:cs="Arial Unicode MS" w:hint="eastAsia"/>
        </w:rPr>
        <w:t>%</w:t>
      </w:r>
      <w:r w:rsidRPr="00D03F53">
        <w:rPr>
          <w:rFonts w:ascii="Arial Unicode MS" w:eastAsia="Arial Unicode MS" w:hAnsi="Arial Unicode MS" w:cs="Arial Unicode MS"/>
        </w:rPr>
        <w:t xml:space="preserve">, the number of cities rose </w:t>
      </w:r>
      <w:r w:rsidRPr="00D03F53">
        <w:rPr>
          <w:rFonts w:ascii="Arial Unicode MS" w:eastAsia="Arial Unicode MS" w:hAnsi="Arial Unicode MS" w:cs="Arial Unicode MS"/>
        </w:rPr>
        <w:lastRenderedPageBreak/>
        <w:t>by 50</w:t>
      </w:r>
      <w:r>
        <w:rPr>
          <w:rFonts w:ascii="Arial Unicode MS" w:eastAsia="Arial Unicode MS" w:hAnsi="Arial Unicode MS" w:cs="Arial Unicode MS" w:hint="eastAsia"/>
        </w:rPr>
        <w:t>%</w:t>
      </w:r>
      <w:r w:rsidRPr="00D03F53">
        <w:rPr>
          <w:rFonts w:ascii="Arial Unicode MS" w:eastAsia="Arial Unicode MS" w:hAnsi="Arial Unicode MS" w:cs="Arial Unicode MS"/>
        </w:rPr>
        <w:t xml:space="preserve"> in 2016 and the number of households without cars declined. </w:t>
      </w:r>
      <w:r>
        <w:rPr>
          <w:rFonts w:ascii="Arial Unicode MS" w:eastAsia="Arial Unicode MS" w:hAnsi="Arial Unicode MS" w:cs="Arial Unicode MS" w:hint="eastAsia"/>
        </w:rPr>
        <w:t>Relative frequency</w:t>
      </w:r>
      <w:r w:rsidRPr="00D03F53">
        <w:rPr>
          <w:rFonts w:ascii="Arial Unicode MS" w:eastAsia="Arial Unicode MS" w:hAnsi="Arial Unicode MS" w:cs="Arial Unicode MS"/>
        </w:rPr>
        <w:t xml:space="preserve"> in the low </w:t>
      </w:r>
      <w:r>
        <w:rPr>
          <w:rFonts w:ascii="Arial Unicode MS" w:eastAsia="Arial Unicode MS" w:hAnsi="Arial Unicode MS" w:cs="Arial Unicode MS" w:hint="eastAsia"/>
        </w:rPr>
        <w:t>percentage</w:t>
      </w:r>
      <w:r w:rsidRPr="00D03F53">
        <w:rPr>
          <w:rFonts w:ascii="Arial Unicode MS" w:eastAsia="Arial Unicode MS" w:hAnsi="Arial Unicode MS" w:cs="Arial Unicode MS"/>
        </w:rPr>
        <w:t xml:space="preserve"> range increased in 2016 compared with </w:t>
      </w:r>
      <w:r>
        <w:rPr>
          <w:rFonts w:ascii="Arial Unicode MS" w:eastAsia="Arial Unicode MS" w:hAnsi="Arial Unicode MS" w:cs="Arial Unicode MS" w:hint="eastAsia"/>
        </w:rPr>
        <w:t>last year</w:t>
      </w:r>
      <w:r w:rsidRPr="00D03F53">
        <w:rPr>
          <w:rFonts w:ascii="Arial Unicode MS" w:eastAsia="Arial Unicode MS" w:hAnsi="Arial Unicode MS" w:cs="Arial Unicode MS"/>
        </w:rPr>
        <w:t xml:space="preserve">, and more data points </w:t>
      </w:r>
      <w:r>
        <w:rPr>
          <w:rFonts w:ascii="Arial Unicode MS" w:eastAsia="Arial Unicode MS" w:hAnsi="Arial Unicode MS" w:cs="Arial Unicode MS" w:hint="eastAsia"/>
        </w:rPr>
        <w:t xml:space="preserve">were </w:t>
      </w:r>
      <w:r w:rsidRPr="00D03F53">
        <w:rPr>
          <w:rFonts w:ascii="Arial Unicode MS" w:eastAsia="Arial Unicode MS" w:hAnsi="Arial Unicode MS" w:cs="Arial Unicode MS"/>
        </w:rPr>
        <w:t>co</w:t>
      </w:r>
      <w:r>
        <w:rPr>
          <w:rFonts w:ascii="Arial Unicode MS" w:eastAsia="Arial Unicode MS" w:hAnsi="Arial Unicode MS" w:cs="Arial Unicode MS"/>
        </w:rPr>
        <w:t>ncentrated in the level above 1</w:t>
      </w:r>
      <w:r w:rsidRPr="00D03F53"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 w:hint="eastAsia"/>
        </w:rPr>
        <w:t>.</w:t>
      </w:r>
      <w:r w:rsidRPr="00D03F53">
        <w:rPr>
          <w:rFonts w:ascii="Arial Unicode MS" w:eastAsia="Arial Unicode MS" w:hAnsi="Arial Unicode MS" w:cs="Arial Unicode MS"/>
        </w:rPr>
        <w:t>5%. Although the lowest relative frequency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in 2016 remain</w:t>
      </w:r>
      <w:r>
        <w:rPr>
          <w:rFonts w:ascii="Arial Unicode MS" w:eastAsia="Arial Unicode MS" w:hAnsi="Arial Unicode MS" w:cs="Arial Unicode MS" w:hint="eastAsia"/>
        </w:rPr>
        <w:t>s to 1,</w:t>
      </w:r>
      <w:r w:rsidRPr="00D03F53">
        <w:rPr>
          <w:rFonts w:ascii="Arial Unicode MS" w:eastAsia="Arial Unicode MS" w:hAnsi="Arial Unicode MS" w:cs="Arial Unicode MS"/>
        </w:rPr>
        <w:t xml:space="preserve"> percentage </w:t>
      </w:r>
      <w:r>
        <w:rPr>
          <w:rFonts w:ascii="Arial Unicode MS" w:eastAsia="Arial Unicode MS" w:hAnsi="Arial Unicode MS" w:cs="Arial Unicode MS" w:hint="eastAsia"/>
        </w:rPr>
        <w:t>stratum</w:t>
      </w:r>
      <w:r w:rsidRPr="00D03F53">
        <w:rPr>
          <w:rFonts w:ascii="Arial Unicode MS" w:eastAsia="Arial Unicode MS" w:hAnsi="Arial Unicode MS" w:cs="Arial Unicode MS"/>
        </w:rPr>
        <w:t xml:space="preserve"> between 5%-7.5% increased slightly in 2016, so the range</w:t>
      </w:r>
      <w:r>
        <w:rPr>
          <w:rFonts w:ascii="Arial Unicode MS" w:eastAsia="Arial Unicode MS" w:hAnsi="Arial Unicode MS" w:cs="Arial Unicode MS" w:hint="eastAsia"/>
        </w:rPr>
        <w:t xml:space="preserve"> of relative frequency</w:t>
      </w:r>
      <w:r w:rsidRPr="00D03F53">
        <w:rPr>
          <w:rFonts w:ascii="Arial Unicode MS" w:eastAsia="Arial Unicode MS" w:hAnsi="Arial Unicode MS" w:cs="Arial Unicode MS"/>
        </w:rPr>
        <w:t xml:space="preserve"> in 2016 was</w:t>
      </w:r>
      <w:r>
        <w:rPr>
          <w:rFonts w:ascii="Arial Unicode MS" w:eastAsia="Arial Unicode MS" w:hAnsi="Arial Unicode MS" w:cs="Arial Unicode MS" w:hint="eastAsia"/>
        </w:rPr>
        <w:t xml:space="preserve"> slightly</w:t>
      </w:r>
      <w:r w:rsidRPr="00D03F53">
        <w:rPr>
          <w:rFonts w:ascii="Arial Unicode MS" w:eastAsia="Arial Unicode MS" w:hAnsi="Arial Unicode MS" w:cs="Arial Unicode MS"/>
        </w:rPr>
        <w:t xml:space="preserve"> larger than that in 2015. Also, th</w:t>
      </w:r>
      <w:r>
        <w:rPr>
          <w:rFonts w:ascii="Arial Unicode MS" w:eastAsia="Arial Unicode MS" w:hAnsi="Arial Unicode MS" w:cs="Arial Unicode MS" w:hint="eastAsia"/>
        </w:rPr>
        <w:t xml:space="preserve">e relative frequency </w:t>
      </w:r>
      <w:r w:rsidRPr="00D03F53">
        <w:rPr>
          <w:rFonts w:ascii="Arial Unicode MS" w:eastAsia="Arial Unicode MS" w:hAnsi="Arial Unicode MS" w:cs="Arial Unicode MS"/>
        </w:rPr>
        <w:t xml:space="preserve">on the left of the highest point is increasing, while the relative frequency on the right is lower than before, and the curve is more </w:t>
      </w:r>
      <w:r>
        <w:rPr>
          <w:rFonts w:ascii="Arial Unicode MS" w:eastAsia="Arial Unicode MS" w:hAnsi="Arial Unicode MS" w:cs="Arial Unicode MS" w:hint="eastAsia"/>
        </w:rPr>
        <w:t>skew</w:t>
      </w:r>
      <w:r w:rsidRPr="00D03F53">
        <w:rPr>
          <w:rFonts w:ascii="Arial Unicode MS" w:eastAsia="Arial Unicode MS" w:hAnsi="Arial Unicode MS" w:cs="Arial Unicode MS"/>
        </w:rPr>
        <w:t xml:space="preserve">ed to the right. On the whole, the proportion of households without cars in the city is generally decreasing. But there are still exceptions: </w:t>
      </w:r>
      <w:r>
        <w:rPr>
          <w:rFonts w:ascii="Arial Unicode MS" w:eastAsia="Arial Unicode MS" w:hAnsi="Arial Unicode MS" w:cs="Arial Unicode MS" w:hint="eastAsia"/>
        </w:rPr>
        <w:t xml:space="preserve">the only one city in 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 w:hint="eastAsia"/>
        </w:rPr>
        <w:t>2.</w:t>
      </w:r>
      <w:r w:rsidRPr="00D03F53">
        <w:rPr>
          <w:rFonts w:ascii="Arial Unicode MS" w:eastAsia="Arial Unicode MS" w:hAnsi="Arial Unicode MS" w:cs="Arial Unicode MS"/>
        </w:rPr>
        <w:t xml:space="preserve">5% </w:t>
      </w:r>
      <w:r>
        <w:rPr>
          <w:rFonts w:ascii="Arial Unicode MS" w:eastAsia="Arial Unicode MS" w:hAnsi="Arial Unicode MS" w:cs="Arial Unicode MS" w:hint="eastAsia"/>
        </w:rPr>
        <w:t>-</w:t>
      </w:r>
      <w:r>
        <w:rPr>
          <w:rFonts w:ascii="Arial Unicode MS" w:eastAsia="Arial Unicode MS" w:hAnsi="Arial Unicode MS" w:cs="Arial Unicode MS"/>
        </w:rPr>
        <w:t xml:space="preserve"> 5</w:t>
      </w:r>
      <w:r w:rsidRPr="00D03F53">
        <w:rPr>
          <w:rFonts w:ascii="Arial Unicode MS" w:eastAsia="Arial Unicode MS" w:hAnsi="Arial Unicode MS" w:cs="Arial Unicode MS"/>
        </w:rPr>
        <w:t>5%</w:t>
      </w:r>
      <w:r>
        <w:rPr>
          <w:rFonts w:ascii="Arial Unicode MS" w:eastAsia="Arial Unicode MS" w:hAnsi="Arial Unicode MS" w:cs="Arial Unicode MS" w:hint="eastAsia"/>
        </w:rPr>
        <w:t xml:space="preserve"> stratum. Its percentage of household without </w:t>
      </w:r>
      <w:r w:rsidR="00BA03F0">
        <w:rPr>
          <w:rFonts w:ascii="Arial Unicode MS" w:eastAsia="Arial Unicode MS" w:hAnsi="Arial Unicode MS" w:cs="Arial Unicode MS" w:hint="eastAsia"/>
        </w:rPr>
        <w:t>vehicle</w:t>
      </w:r>
      <w:r>
        <w:rPr>
          <w:rFonts w:ascii="Arial Unicode MS" w:eastAsia="Arial Unicode MS" w:hAnsi="Arial Unicode MS" w:cs="Arial Unicode MS" w:hint="eastAsia"/>
        </w:rPr>
        <w:t>s stayed nearly the same after the one-year development.</w:t>
      </w:r>
    </w:p>
    <w:p w14:paraId="4A80EED3" w14:textId="77777777" w:rsidR="00E07618" w:rsidRDefault="00E07618" w:rsidP="00E07618">
      <w:pPr>
        <w:ind w:firstLine="420"/>
        <w:rPr>
          <w:rFonts w:ascii="Arial Unicode MS" w:eastAsia="Arial Unicode MS" w:hAnsi="Arial Unicode MS" w:cs="Arial Unicode MS"/>
        </w:rPr>
      </w:pPr>
      <w:r w:rsidRPr="0035563B">
        <w:rPr>
          <w:rFonts w:ascii="Arial Unicode MS" w:eastAsia="Arial Unicode MS" w:hAnsi="Arial Unicode MS" w:cs="Arial Unicode MS"/>
        </w:rPr>
        <w:t xml:space="preserve">In </w:t>
      </w:r>
      <w:r>
        <w:rPr>
          <w:rFonts w:ascii="Arial Unicode MS" w:eastAsia="Arial Unicode MS" w:hAnsi="Arial Unicode MS" w:cs="Arial Unicode MS" w:hint="eastAsia"/>
        </w:rPr>
        <w:t>cumulative frequency</w:t>
      </w:r>
      <w:r w:rsidRPr="0035563B">
        <w:rPr>
          <w:rFonts w:ascii="Arial Unicode MS" w:eastAsia="Arial Unicode MS" w:hAnsi="Arial Unicode MS" w:cs="Arial Unicode MS"/>
        </w:rPr>
        <w:t xml:space="preserve">, it can be seen that 80% of the data is concentrated below 12.5%, while the data above 12.5% is not significantly changed in </w:t>
      </w:r>
      <w:r>
        <w:rPr>
          <w:rFonts w:ascii="Arial Unicode MS" w:eastAsia="Arial Unicode MS" w:hAnsi="Arial Unicode MS" w:cs="Arial Unicode MS" w:hint="eastAsia"/>
        </w:rPr>
        <w:t xml:space="preserve">the </w:t>
      </w:r>
      <w:r w:rsidRPr="0035563B">
        <w:rPr>
          <w:rFonts w:ascii="Arial Unicode MS" w:eastAsia="Arial Unicode MS" w:hAnsi="Arial Unicode MS" w:cs="Arial Unicode MS"/>
        </w:rPr>
        <w:t xml:space="preserve">cumulative frequency line plot (except that at the level of 27.5% to 30%, there is a relatively significant improvement in 2016). According to </w:t>
      </w:r>
      <w:r>
        <w:rPr>
          <w:rFonts w:ascii="Arial Unicode MS" w:eastAsia="Arial Unicode MS" w:hAnsi="Arial Unicode MS" w:cs="Arial Unicode MS"/>
        </w:rPr>
        <w:t>the percentage stratum below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12.5%</w:t>
      </w:r>
      <w:r w:rsidRPr="0035563B">
        <w:rPr>
          <w:rFonts w:ascii="Arial Unicode MS" w:eastAsia="Arial Unicode MS" w:hAnsi="Arial Unicode MS" w:cs="Arial Unicode MS"/>
        </w:rPr>
        <w:t xml:space="preserve">, 2016 </w:t>
      </w:r>
      <w:r>
        <w:rPr>
          <w:rFonts w:ascii="Arial Unicode MS" w:eastAsia="Arial Unicode MS" w:hAnsi="Arial Unicode MS" w:cs="Arial Unicode MS" w:hint="eastAsia"/>
        </w:rPr>
        <w:t>shows</w:t>
      </w:r>
      <w:r>
        <w:rPr>
          <w:rFonts w:ascii="Arial Unicode MS" w:eastAsia="Arial Unicode MS" w:hAnsi="Arial Unicode MS" w:cs="Arial Unicode MS"/>
        </w:rPr>
        <w:t xml:space="preserve"> an average increase of 3.08%</w:t>
      </w:r>
      <w:r w:rsidRPr="0035563B">
        <w:rPr>
          <w:rFonts w:ascii="Arial Unicode MS" w:eastAsia="Arial Unicode MS" w:hAnsi="Arial Unicode MS" w:cs="Arial Unicode MS"/>
        </w:rPr>
        <w:t xml:space="preserve"> compared with 2015.</w:t>
      </w:r>
    </w:p>
    <w:p w14:paraId="4F56EA98" w14:textId="77777777" w:rsidR="00E07618" w:rsidRPr="00C414C3" w:rsidRDefault="00E07618" w:rsidP="00E07618">
      <w:pPr>
        <w:ind w:firstLine="420"/>
        <w:rPr>
          <w:rFonts w:ascii="Arial Unicode MS" w:eastAsia="Arial Unicode MS" w:hAnsi="Arial Unicode MS" w:cs="Arial Unicode MS"/>
          <w:b/>
        </w:rPr>
      </w:pPr>
      <w:r w:rsidRPr="00C414C3">
        <w:rPr>
          <w:rFonts w:ascii="Arial Unicode MS" w:eastAsia="Arial Unicode MS" w:hAnsi="Arial Unicode MS" w:cs="Arial Unicode MS" w:hint="eastAsia"/>
          <w:b/>
        </w:rPr>
        <w:t>Q5</w:t>
      </w:r>
    </w:p>
    <w:p w14:paraId="5472B02B" w14:textId="77777777" w:rsidR="00E07618" w:rsidRPr="0028765B" w:rsidRDefault="00E07618" w:rsidP="00E07618">
      <w:pPr>
        <w:ind w:firstLine="420"/>
        <w:rPr>
          <w:rFonts w:ascii="Arial Unicode MS" w:eastAsia="Arial Unicode MS" w:hAnsi="Arial Unicode MS" w:cs="Arial Unicode MS"/>
        </w:rPr>
      </w:pPr>
      <w:r w:rsidRPr="001666B5">
        <w:rPr>
          <w:rFonts w:ascii="Arial Unicode MS" w:eastAsia="Arial Unicode MS" w:hAnsi="Arial Unicode MS" w:cs="Arial Unicode MS"/>
        </w:rPr>
        <w:t>Since the distribution is not s</w:t>
      </w:r>
      <w:r>
        <w:rPr>
          <w:rFonts w:ascii="Arial Unicode MS" w:eastAsia="Arial Unicode MS" w:hAnsi="Arial Unicode MS" w:cs="Arial Unicode MS" w:hint="eastAsia"/>
        </w:rPr>
        <w:t>ymmetrically</w:t>
      </w:r>
      <w:r w:rsidRPr="001666B5"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 w:hint="eastAsia"/>
        </w:rPr>
        <w:t xml:space="preserve">the </w:t>
      </w:r>
      <w:r w:rsidRPr="001666B5">
        <w:rPr>
          <w:rFonts w:ascii="Arial Unicode MS" w:eastAsia="Arial Unicode MS" w:hAnsi="Arial Unicode MS" w:cs="Arial Unicode MS"/>
        </w:rPr>
        <w:t>o</w:t>
      </w:r>
      <w:r>
        <w:rPr>
          <w:rFonts w:ascii="Arial Unicode MS" w:eastAsia="Arial Unicode MS" w:hAnsi="Arial Unicode MS" w:cs="Arial Unicode MS" w:hint="eastAsia"/>
        </w:rPr>
        <w:t>ut</w:t>
      </w:r>
      <w:r w:rsidRPr="001666B5">
        <w:rPr>
          <w:rFonts w:ascii="Arial Unicode MS" w:eastAsia="Arial Unicode MS" w:hAnsi="Arial Unicode MS" w:cs="Arial Unicode MS"/>
        </w:rPr>
        <w:t>l</w:t>
      </w:r>
      <w:r>
        <w:rPr>
          <w:rFonts w:ascii="Arial Unicode MS" w:eastAsia="Arial Unicode MS" w:hAnsi="Arial Unicode MS" w:cs="Arial Unicode MS" w:hint="eastAsia"/>
        </w:rPr>
        <w:t>ier</w:t>
      </w:r>
      <w:r>
        <w:rPr>
          <w:rFonts w:ascii="Arial Unicode MS" w:eastAsia="Arial Unicode MS" w:hAnsi="Arial Unicode MS" w:cs="Arial Unicode MS"/>
        </w:rPr>
        <w:t xml:space="preserve"> cannot be determined by </w:t>
      </w:r>
      <w:r>
        <w:rPr>
          <w:rFonts w:ascii="Arial Unicode MS" w:eastAsia="Arial Unicode MS" w:hAnsi="Arial Unicode MS" w:cs="Arial Unicode MS" w:hint="eastAsia"/>
        </w:rPr>
        <w:t>Sigma Rules</w:t>
      </w:r>
      <w:r w:rsidRPr="001666B5">
        <w:rPr>
          <w:rFonts w:ascii="Arial Unicode MS" w:eastAsia="Arial Unicode MS" w:hAnsi="Arial Unicode MS" w:cs="Arial Unicode MS"/>
        </w:rPr>
        <w:t xml:space="preserve"> on the data points, so</w:t>
      </w:r>
      <w:r>
        <w:rPr>
          <w:rFonts w:ascii="Arial Unicode MS" w:eastAsia="Arial Unicode MS" w:hAnsi="Arial Unicode MS" w:cs="Arial Unicode MS" w:hint="eastAsia"/>
        </w:rPr>
        <w:t xml:space="preserve"> I should find them out</w:t>
      </w:r>
      <w:r w:rsidRPr="001666B5">
        <w:rPr>
          <w:rFonts w:ascii="Arial Unicode MS" w:eastAsia="Arial Unicode MS" w:hAnsi="Arial Unicode MS" w:cs="Arial Unicode MS"/>
        </w:rPr>
        <w:t xml:space="preserve"> </w:t>
      </w:r>
      <w:r w:rsidRPr="001666B5">
        <w:rPr>
          <w:rFonts w:ascii="Arial Unicode MS" w:eastAsia="Arial Unicode MS" w:hAnsi="Arial Unicode MS" w:cs="Arial Unicode MS"/>
        </w:rPr>
        <w:lastRenderedPageBreak/>
        <w:t xml:space="preserve">by comparing and analyzing the original data. Firstly, </w:t>
      </w:r>
      <w:r>
        <w:rPr>
          <w:rFonts w:ascii="Arial Unicode MS" w:eastAsia="Arial Unicode MS" w:hAnsi="Arial Unicode MS" w:cs="Arial Unicode MS" w:hint="eastAsia"/>
        </w:rPr>
        <w:t>I will</w:t>
      </w:r>
      <w:r w:rsidRPr="001666B5">
        <w:rPr>
          <w:rFonts w:ascii="Arial Unicode MS" w:eastAsia="Arial Unicode MS" w:hAnsi="Arial Unicode MS" w:cs="Arial Unicode MS"/>
        </w:rPr>
        <w:t xml:space="preserve"> focus on the distance from </w:t>
      </w:r>
      <w:r>
        <w:rPr>
          <w:rFonts w:ascii="Arial Unicode MS" w:eastAsia="Arial Unicode MS" w:hAnsi="Arial Unicode MS" w:cs="Arial Unicode MS" w:hint="eastAsia"/>
        </w:rPr>
        <w:t>percentage stratum</w:t>
      </w:r>
      <w:r w:rsidRPr="001666B5">
        <w:rPr>
          <w:rFonts w:ascii="Arial Unicode MS" w:eastAsia="Arial Unicode MS" w:hAnsi="Arial Unicode MS" w:cs="Arial Unicode MS"/>
        </w:rPr>
        <w:t xml:space="preserve"> corresponding to the highest frequency. The farther the distance is, the more likely it is to be </w:t>
      </w:r>
      <w:r w:rsidRPr="00BF016E">
        <w:rPr>
          <w:rFonts w:ascii="Arial Unicode MS" w:eastAsia="Arial Unicode MS" w:hAnsi="Arial Unicode MS" w:cs="Arial Unicode MS"/>
        </w:rPr>
        <w:t>the outlier</w:t>
      </w:r>
      <w:r w:rsidRPr="001666B5"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 w:hint="eastAsia"/>
        </w:rPr>
        <w:t>To be more specific</w:t>
      </w:r>
      <w:r w:rsidRPr="001666B5"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 w:hint="eastAsia"/>
        </w:rPr>
        <w:t>I</w:t>
      </w:r>
      <w:r>
        <w:rPr>
          <w:rFonts w:ascii="Arial Unicode MS" w:eastAsia="Arial Unicode MS" w:hAnsi="Arial Unicode MS" w:cs="Arial Unicode MS"/>
        </w:rPr>
        <w:t xml:space="preserve"> will focu</w:t>
      </w:r>
      <w:r>
        <w:rPr>
          <w:rFonts w:ascii="Arial Unicode MS" w:eastAsia="Arial Unicode MS" w:hAnsi="Arial Unicode MS" w:cs="Arial Unicode MS" w:hint="eastAsia"/>
        </w:rPr>
        <w:t>s</w:t>
      </w:r>
      <w:r w:rsidRPr="0028765B">
        <w:rPr>
          <w:rFonts w:ascii="Arial Unicode MS" w:eastAsia="Arial Unicode MS" w:hAnsi="Arial Unicode MS" w:cs="Arial Unicode MS"/>
        </w:rPr>
        <w:t xml:space="preserve"> on cities where the number of cars owned by </w:t>
      </w:r>
      <w:r>
        <w:rPr>
          <w:rFonts w:ascii="Arial Unicode MS" w:eastAsia="Arial Unicode MS" w:hAnsi="Arial Unicode MS" w:cs="Arial Unicode MS" w:hint="eastAsia"/>
        </w:rPr>
        <w:t>families</w:t>
      </w:r>
      <w:r w:rsidRPr="0028765B">
        <w:rPr>
          <w:rFonts w:ascii="Arial Unicode MS" w:eastAsia="Arial Unicode MS" w:hAnsi="Arial Unicode MS" w:cs="Arial Unicode MS"/>
        </w:rPr>
        <w:t xml:space="preserve"> is below zero. In addition, </w:t>
      </w:r>
      <w:r>
        <w:rPr>
          <w:rFonts w:ascii="Arial Unicode MS" w:eastAsia="Arial Unicode MS" w:hAnsi="Arial Unicode MS" w:cs="Arial Unicode MS" w:hint="eastAsia"/>
        </w:rPr>
        <w:t>for those</w:t>
      </w:r>
      <w:r w:rsidRPr="0028765B">
        <w:rPr>
          <w:rFonts w:ascii="Arial Unicode MS" w:eastAsia="Arial Unicode MS" w:hAnsi="Arial Unicode MS" w:cs="Arial Unicode MS"/>
        </w:rPr>
        <w:t xml:space="preserve"> the nu</w:t>
      </w:r>
      <w:r>
        <w:rPr>
          <w:rFonts w:ascii="Arial Unicode MS" w:eastAsia="Arial Unicode MS" w:hAnsi="Arial Unicode MS" w:cs="Arial Unicode MS"/>
        </w:rPr>
        <w:t>mber of cars owned by household</w:t>
      </w:r>
      <w:r>
        <w:rPr>
          <w:rFonts w:ascii="Arial Unicode MS" w:eastAsia="Arial Unicode MS" w:hAnsi="Arial Unicode MS" w:cs="Arial Unicode MS" w:hint="eastAsia"/>
        </w:rPr>
        <w:t xml:space="preserve"> shows</w:t>
      </w:r>
      <w:r w:rsidRPr="0028765B">
        <w:rPr>
          <w:rFonts w:ascii="Arial Unicode MS" w:eastAsia="Arial Unicode MS" w:hAnsi="Arial Unicode MS" w:cs="Arial Unicode MS"/>
        </w:rPr>
        <w:t xml:space="preserve"> on decline trend from 2015 to 2016,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28765B">
        <w:rPr>
          <w:rFonts w:ascii="Arial Unicode MS" w:eastAsia="Arial Unicode MS" w:hAnsi="Arial Unicode MS" w:cs="Arial Unicode MS"/>
        </w:rPr>
        <w:t>among these cities</w:t>
      </w:r>
      <w:r>
        <w:rPr>
          <w:rFonts w:ascii="Arial Unicode MS" w:eastAsia="Arial Unicode MS" w:hAnsi="Arial Unicode MS" w:cs="Arial Unicode MS" w:hint="eastAsia"/>
        </w:rPr>
        <w:t xml:space="preserve">, </w:t>
      </w:r>
      <w:r w:rsidRPr="0028765B">
        <w:rPr>
          <w:rFonts w:ascii="Arial Unicode MS" w:eastAsia="Arial Unicode MS" w:hAnsi="Arial Unicode MS" w:cs="Arial Unicode MS"/>
        </w:rPr>
        <w:t>their number is likely to deviate from the normal number due to some undetected reasons.</w:t>
      </w:r>
    </w:p>
    <w:p w14:paraId="4EDD517D" w14:textId="77777777" w:rsidR="00E07618" w:rsidRDefault="00E07618" w:rsidP="00E07618">
      <w:pPr>
        <w:ind w:firstLine="420"/>
        <w:rPr>
          <w:rFonts w:ascii="Arial Unicode MS" w:eastAsia="Arial Unicode MS" w:hAnsi="Arial Unicode MS" w:cs="Arial Unicode MS"/>
        </w:rPr>
      </w:pPr>
      <w:r w:rsidRPr="0028765B">
        <w:rPr>
          <w:rFonts w:ascii="Arial Unicode MS" w:eastAsia="Arial Unicode MS" w:hAnsi="Arial Unicode MS" w:cs="Arial Unicode MS"/>
        </w:rPr>
        <w:t>A total of 6 cities meet the above conditions</w:t>
      </w:r>
      <w:r>
        <w:rPr>
          <w:rFonts w:ascii="Arial Unicode MS" w:eastAsia="Arial Unicode MS" w:hAnsi="Arial Unicode MS" w:cs="Arial Unicode MS" w:hint="eastAsia"/>
        </w:rPr>
        <w:t xml:space="preserve">. </w:t>
      </w:r>
      <w:r w:rsidRPr="0028765B">
        <w:rPr>
          <w:rFonts w:ascii="Arial Unicode MS" w:eastAsia="Arial Unicode MS" w:hAnsi="Arial Unicode MS" w:cs="Arial Unicode MS"/>
        </w:rPr>
        <w:t>I put them in</w:t>
      </w:r>
      <w:r>
        <w:rPr>
          <w:rFonts w:ascii="Arial Unicode MS" w:eastAsia="Arial Unicode MS" w:hAnsi="Arial Unicode MS" w:cs="Arial Unicode MS" w:hint="eastAsia"/>
        </w:rPr>
        <w:t xml:space="preserve"> order</w:t>
      </w:r>
      <w:r w:rsidRPr="0028765B">
        <w:rPr>
          <w:rFonts w:ascii="Arial Unicode MS" w:eastAsia="Arial Unicode MS" w:hAnsi="Arial Unicode MS" w:cs="Arial Unicode MS"/>
        </w:rPr>
        <w:t xml:space="preserve"> according to the percentage of families without cars in 2015</w:t>
      </w:r>
      <w:r>
        <w:rPr>
          <w:rFonts w:ascii="Arial Unicode MS" w:eastAsia="Arial Unicode MS" w:hAnsi="Arial Unicode MS" w:cs="Arial Unicode MS" w:hint="eastAsia"/>
        </w:rPr>
        <w:t>.</w:t>
      </w:r>
    </w:p>
    <w:p w14:paraId="1B8C0985" w14:textId="77777777" w:rsidR="00E07618" w:rsidRDefault="00E07618" w:rsidP="00E07618">
      <w:pPr>
        <w:ind w:firstLine="420"/>
        <w:rPr>
          <w:rFonts w:ascii="Arial Unicode MS" w:eastAsia="Arial Unicode MS" w:hAnsi="Arial Unicode MS" w:cs="Arial Unicode MS"/>
        </w:rPr>
      </w:pPr>
      <w:r w:rsidRPr="0028765B">
        <w:rPr>
          <w:noProof/>
        </w:rPr>
        <w:drawing>
          <wp:inline distT="0" distB="0" distL="0" distR="0" wp14:anchorId="45C47FE1" wp14:editId="1E6ABEB2">
            <wp:extent cx="4541520" cy="15646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F660" w14:textId="77777777" w:rsidR="00E07618" w:rsidRDefault="00E07618" w:rsidP="00E07618">
      <w:pPr>
        <w:ind w:firstLine="420"/>
        <w:rPr>
          <w:rFonts w:ascii="Arial Unicode MS" w:eastAsia="Arial Unicode MS" w:hAnsi="Arial Unicode MS" w:cs="Arial Unicode MS"/>
        </w:rPr>
      </w:pPr>
      <w:r w:rsidRPr="005A29D3">
        <w:rPr>
          <w:rFonts w:ascii="Arial Unicode MS" w:eastAsia="Arial Unicode MS" w:hAnsi="Arial Unicode MS" w:cs="Arial Unicode MS"/>
        </w:rPr>
        <w:t xml:space="preserve">This among them, there are three cities showed a decline, as New York, jersey and Boston. Boston and New York are bustling cities, the most striking features is </w:t>
      </w:r>
      <w:r>
        <w:rPr>
          <w:rFonts w:ascii="Arial Unicode MS" w:eastAsia="Arial Unicode MS" w:hAnsi="Arial Unicode MS" w:cs="Arial Unicode MS"/>
        </w:rPr>
        <w:t>developed transportation system</w:t>
      </w:r>
      <w:r>
        <w:rPr>
          <w:rFonts w:ascii="Arial Unicode MS" w:eastAsia="Arial Unicode MS" w:hAnsi="Arial Unicode MS" w:cs="Arial Unicode MS" w:hint="eastAsia"/>
        </w:rPr>
        <w:t>. T</w:t>
      </w:r>
      <w:r w:rsidRPr="00CB3DFA">
        <w:rPr>
          <w:rFonts w:ascii="Arial Unicode MS" w:eastAsia="Arial Unicode MS" w:hAnsi="Arial Unicode MS" w:cs="Arial Unicode MS"/>
        </w:rPr>
        <w:t xml:space="preserve">axi, bus, subway is the main means of transportation, reliance for personal use. </w:t>
      </w:r>
      <w:r w:rsidRPr="005A29D3">
        <w:rPr>
          <w:rFonts w:ascii="Arial Unicode MS" w:eastAsia="Arial Unicode MS" w:hAnsi="Arial Unicode MS" w:cs="Arial Unicode MS"/>
        </w:rPr>
        <w:t>For those in need of buying a car is not strong enough.</w:t>
      </w:r>
    </w:p>
    <w:p w14:paraId="0AD9B086" w14:textId="77777777" w:rsidR="00E07618" w:rsidRDefault="00E07618" w:rsidP="00E07618">
      <w:pPr>
        <w:ind w:firstLine="4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2. T</w:t>
      </w:r>
      <w:r w:rsidRPr="00CB3DFA">
        <w:rPr>
          <w:rFonts w:ascii="Arial Unicode MS" w:eastAsia="Arial Unicode MS" w:hAnsi="Arial Unicode MS" w:cs="Arial Unicode MS"/>
        </w:rPr>
        <w:t>he</w:t>
      </w:r>
      <w:r>
        <w:rPr>
          <w:rFonts w:ascii="Arial Unicode MS" w:eastAsia="Arial Unicode MS" w:hAnsi="Arial Unicode MS" w:cs="Arial Unicode MS" w:hint="eastAsia"/>
        </w:rPr>
        <w:t xml:space="preserve"> s</w:t>
      </w:r>
      <w:r>
        <w:rPr>
          <w:rFonts w:ascii="Arial Unicode MS" w:eastAsia="Arial Unicode MS" w:hAnsi="Arial Unicode MS" w:cs="Arial Unicode MS"/>
        </w:rPr>
        <w:t>ignificant</w:t>
      </w:r>
      <w:r w:rsidRPr="00CB3DFA">
        <w:rPr>
          <w:rFonts w:ascii="Arial Unicode MS" w:eastAsia="Arial Unicode MS" w:hAnsi="Arial Unicode MS" w:cs="Arial Unicode MS"/>
        </w:rPr>
        <w:t xml:space="preserve"> population flow</w:t>
      </w:r>
      <w:r>
        <w:rPr>
          <w:rFonts w:ascii="Arial Unicode MS" w:eastAsia="Arial Unicode MS" w:hAnsi="Arial Unicode MS" w:cs="Arial Unicode MS" w:hint="eastAsia"/>
        </w:rPr>
        <w:t>. Their</w:t>
      </w:r>
      <w:r w:rsidRPr="005A29D3">
        <w:rPr>
          <w:rFonts w:ascii="Arial Unicode MS" w:eastAsia="Arial Unicode MS" w:hAnsi="Arial Unicode MS" w:cs="Arial Unicode MS"/>
        </w:rPr>
        <w:t xml:space="preserve"> economic structure can also reflected </w:t>
      </w:r>
      <w:r>
        <w:rPr>
          <w:rFonts w:ascii="Arial Unicode MS" w:eastAsia="Arial Unicode MS" w:hAnsi="Arial Unicode MS" w:cs="Arial Unicode MS" w:hint="eastAsia"/>
        </w:rPr>
        <w:t>their</w:t>
      </w:r>
      <w:r>
        <w:rPr>
          <w:rFonts w:ascii="Arial Unicode MS" w:eastAsia="Arial Unicode MS" w:hAnsi="Arial Unicode MS" w:cs="Arial Unicode MS"/>
        </w:rPr>
        <w:t xml:space="preserve"> crowded conditions</w:t>
      </w:r>
      <w:r>
        <w:rPr>
          <w:rFonts w:ascii="Arial Unicode MS" w:eastAsia="Arial Unicode MS" w:hAnsi="Arial Unicode MS" w:cs="Arial Unicode MS" w:hint="eastAsia"/>
        </w:rPr>
        <w:t xml:space="preserve"> of </w:t>
      </w:r>
      <w:r>
        <w:rPr>
          <w:rFonts w:ascii="Arial Unicode MS" w:eastAsia="Arial Unicode MS" w:hAnsi="Arial Unicode MS" w:cs="Arial Unicode MS"/>
        </w:rPr>
        <w:t>the large population flow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5A29D3">
        <w:rPr>
          <w:rFonts w:ascii="Arial Unicode MS" w:eastAsia="Arial Unicode MS" w:hAnsi="Arial Unicode MS" w:cs="Arial Unicode MS"/>
        </w:rPr>
        <w:t>chara</w:t>
      </w:r>
      <w:r>
        <w:rPr>
          <w:rFonts w:ascii="Arial Unicode MS" w:eastAsia="Arial Unicode MS" w:hAnsi="Arial Unicode MS" w:cs="Arial Unicode MS"/>
        </w:rPr>
        <w:t>cteristics</w:t>
      </w:r>
      <w:r>
        <w:rPr>
          <w:rFonts w:ascii="Arial Unicode MS" w:eastAsia="Arial Unicode MS" w:hAnsi="Arial Unicode MS" w:cs="Arial Unicode MS" w:hint="eastAsia"/>
        </w:rPr>
        <w:t>. T</w:t>
      </w:r>
      <w:r w:rsidRPr="00CB3DFA">
        <w:rPr>
          <w:rFonts w:ascii="Arial Unicode MS" w:eastAsia="Arial Unicode MS" w:hAnsi="Arial Unicode MS" w:cs="Arial Unicode MS"/>
        </w:rPr>
        <w:t xml:space="preserve">his </w:t>
      </w:r>
      <w:r>
        <w:rPr>
          <w:rFonts w:ascii="Arial Unicode MS" w:eastAsia="Arial Unicode MS" w:hAnsi="Arial Unicode MS" w:cs="Arial Unicode MS" w:hint="eastAsia"/>
        </w:rPr>
        <w:t>picture below shows</w:t>
      </w:r>
      <w:r w:rsidRPr="00CB3DFA">
        <w:rPr>
          <w:rFonts w:ascii="Arial Unicode MS" w:eastAsia="Arial Unicode MS" w:hAnsi="Arial Unicode MS" w:cs="Arial Unicode MS"/>
        </w:rPr>
        <w:t xml:space="preserve"> the migration of 2011-2016, </w:t>
      </w:r>
      <w:r w:rsidRPr="00CB3DFA">
        <w:rPr>
          <w:rFonts w:ascii="Arial Unicode MS" w:eastAsia="Arial Unicode MS" w:hAnsi="Arial Unicode MS" w:cs="Arial Unicode MS"/>
        </w:rPr>
        <w:lastRenderedPageBreak/>
        <w:t>New York</w:t>
      </w:r>
      <w:r>
        <w:rPr>
          <w:rFonts w:ascii="Arial Unicode MS" w:eastAsia="Arial Unicode MS" w:hAnsi="Arial Unicode MS" w:cs="Arial Unicode MS" w:hint="eastAsia"/>
        </w:rPr>
        <w:t xml:space="preserve"> City</w:t>
      </w:r>
      <w:r w:rsidRPr="00CB3DFA"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 w:hint="eastAsia"/>
        </w:rPr>
        <w:t>This city has a</w:t>
      </w:r>
      <w:r w:rsidRPr="00CB3DFA">
        <w:rPr>
          <w:rFonts w:ascii="Arial Unicode MS" w:eastAsia="Arial Unicode MS" w:hAnsi="Arial Unicode MS" w:cs="Arial Unicode MS"/>
        </w:rPr>
        <w:t>ccommodate large population, but not a lot of people living in New York and buy a car, some people from other places came to New York, to the city as a struggle for life, rather than fitting place for a settlement.</w:t>
      </w:r>
    </w:p>
    <w:p w14:paraId="5C55AA84" w14:textId="77777777" w:rsidR="00E07618" w:rsidRDefault="00E07618" w:rsidP="00E07618">
      <w:pPr>
        <w:ind w:firstLine="420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002271FC" wp14:editId="447B7051">
            <wp:extent cx="4305300" cy="35128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7FBD" w14:textId="77777777" w:rsidR="00E07618" w:rsidRPr="00C414C3" w:rsidRDefault="00E07618" w:rsidP="00E07618">
      <w:pPr>
        <w:ind w:firstLine="420"/>
        <w:rPr>
          <w:rFonts w:ascii="Arial Unicode MS" w:eastAsia="Arial Unicode MS" w:hAnsi="Arial Unicode MS" w:cs="Arial Unicode MS"/>
          <w:b/>
        </w:rPr>
      </w:pPr>
      <w:r w:rsidRPr="00C414C3">
        <w:rPr>
          <w:rFonts w:ascii="Arial Unicode MS" w:eastAsia="Arial Unicode MS" w:hAnsi="Arial Unicode MS" w:cs="Arial Unicode MS" w:hint="eastAsia"/>
          <w:b/>
        </w:rPr>
        <w:t>Q4</w:t>
      </w:r>
    </w:p>
    <w:p w14:paraId="65E0642D" w14:textId="77777777" w:rsidR="00E07618" w:rsidRDefault="00E07618" w:rsidP="00E07618">
      <w:pPr>
        <w:ind w:firstLine="420"/>
        <w:rPr>
          <w:rFonts w:ascii="Arial Unicode MS" w:eastAsia="Arial Unicode MS" w:hAnsi="Arial Unicode MS" w:cs="Arial Unicode MS"/>
        </w:rPr>
      </w:pPr>
      <w:r w:rsidRPr="00DC4392">
        <w:rPr>
          <w:noProof/>
        </w:rPr>
        <w:drawing>
          <wp:inline distT="0" distB="0" distL="0" distR="0" wp14:anchorId="4E90ADDD" wp14:editId="1F6AE8BB">
            <wp:extent cx="4673600" cy="2908968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90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0F7A" w14:textId="77777777" w:rsidR="00E07618" w:rsidRDefault="00E07618" w:rsidP="00E07618">
      <w:pPr>
        <w:ind w:firstLine="420"/>
        <w:rPr>
          <w:rFonts w:ascii="Arial Unicode MS" w:eastAsia="Arial Unicode MS" w:hAnsi="Arial Unicode MS" w:cs="Arial Unicode MS"/>
        </w:rPr>
      </w:pPr>
      <w:r w:rsidRPr="00DC4392">
        <w:rPr>
          <w:rFonts w:ascii="Arial Unicode MS" w:eastAsia="Arial Unicode MS" w:hAnsi="Arial Unicode MS" w:cs="Arial Unicode MS"/>
        </w:rPr>
        <w:t xml:space="preserve">This table shows the distribution of data and relative changes </w:t>
      </w:r>
      <w:r w:rsidRPr="00DC4392">
        <w:rPr>
          <w:rFonts w:ascii="Arial Unicode MS" w:eastAsia="Arial Unicode MS" w:hAnsi="Arial Unicode MS" w:cs="Arial Unicode MS"/>
        </w:rPr>
        <w:lastRenderedPageBreak/>
        <w:t>betwee</w:t>
      </w:r>
      <w:r>
        <w:rPr>
          <w:rFonts w:ascii="Arial Unicode MS" w:eastAsia="Arial Unicode MS" w:hAnsi="Arial Unicode MS" w:cs="Arial Unicode MS"/>
        </w:rPr>
        <w:t xml:space="preserve">n two years. The </w:t>
      </w:r>
      <w:r>
        <w:rPr>
          <w:rFonts w:ascii="Arial Unicode MS" w:eastAsia="Arial Unicode MS" w:hAnsi="Arial Unicode MS" w:cs="Arial Unicode MS" w:hint="eastAsia"/>
        </w:rPr>
        <w:t>mean</w:t>
      </w:r>
      <w:r w:rsidRPr="00DC4392">
        <w:rPr>
          <w:rFonts w:ascii="Arial Unicode MS" w:eastAsia="Arial Unicode MS" w:hAnsi="Arial Unicode MS" w:cs="Arial Unicode MS"/>
        </w:rPr>
        <w:t>, median,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maximum</w:t>
      </w:r>
      <w:r>
        <w:rPr>
          <w:rFonts w:ascii="Arial Unicode MS" w:eastAsia="Arial Unicode MS" w:hAnsi="Arial Unicode MS" w:cs="Arial Unicode MS" w:hint="eastAsia"/>
        </w:rPr>
        <w:t xml:space="preserve">, </w:t>
      </w:r>
      <w:r w:rsidRPr="00DC4392">
        <w:rPr>
          <w:rFonts w:ascii="Arial Unicode MS" w:eastAsia="Arial Unicode MS" w:hAnsi="Arial Unicode MS" w:cs="Arial Unicode MS"/>
        </w:rPr>
        <w:t>minimum and sum is greater than 2016 years of data, means that</w:t>
      </w:r>
      <w:r w:rsidR="00F9771F">
        <w:rPr>
          <w:rFonts w:ascii="Arial Unicode MS" w:eastAsia="Arial Unicode MS" w:hAnsi="Arial Unicode MS" w:cs="Arial Unicode MS"/>
        </w:rPr>
        <w:t xml:space="preserve"> the data presented in 2016 is </w:t>
      </w:r>
      <w:r w:rsidR="00F9771F">
        <w:rPr>
          <w:rFonts w:ascii="Arial Unicode MS" w:eastAsia="Arial Unicode MS" w:hAnsi="Arial Unicode MS" w:cs="Arial Unicode MS" w:hint="eastAsia"/>
        </w:rPr>
        <w:t>de</w:t>
      </w:r>
      <w:r w:rsidRPr="00DC4392">
        <w:rPr>
          <w:rFonts w:ascii="Arial Unicode MS" w:eastAsia="Arial Unicode MS" w:hAnsi="Arial Unicode MS" w:cs="Arial Unicode MS"/>
        </w:rPr>
        <w:t xml:space="preserve">creasing. </w:t>
      </w:r>
      <w:r>
        <w:rPr>
          <w:rFonts w:ascii="Arial Unicode MS" w:eastAsia="Arial Unicode MS" w:hAnsi="Arial Unicode MS" w:cs="Arial Unicode MS" w:hint="eastAsia"/>
        </w:rPr>
        <w:t>S</w:t>
      </w:r>
      <w:r w:rsidRPr="00DC4392">
        <w:rPr>
          <w:rFonts w:ascii="Arial Unicode MS" w:eastAsia="Arial Unicode MS" w:hAnsi="Arial Unicode MS" w:cs="Arial Unicode MS"/>
        </w:rPr>
        <w:t xml:space="preserve">tandard error, standard deviation, variance, </w:t>
      </w:r>
      <w:r>
        <w:rPr>
          <w:rFonts w:ascii="Arial Unicode MS" w:eastAsia="Arial Unicode MS" w:hAnsi="Arial Unicode MS" w:cs="Arial Unicode MS" w:hint="eastAsia"/>
        </w:rPr>
        <w:t>range</w:t>
      </w:r>
      <w:r w:rsidRPr="00DC4392">
        <w:rPr>
          <w:rFonts w:ascii="Arial Unicode MS" w:eastAsia="Arial Unicode MS" w:hAnsi="Arial Unicode MS" w:cs="Arial Unicode MS"/>
        </w:rPr>
        <w:t xml:space="preserve"> are lower than in 2015, and kurt</w:t>
      </w:r>
      <w:r>
        <w:rPr>
          <w:rFonts w:ascii="Arial Unicode MS" w:eastAsia="Arial Unicode MS" w:hAnsi="Arial Unicode MS" w:cs="Arial Unicode MS"/>
        </w:rPr>
        <w:t>osis is higher than in 2015, so</w:t>
      </w:r>
      <w:r w:rsidRPr="00DC4392">
        <w:rPr>
          <w:rFonts w:ascii="Arial Unicode MS" w:eastAsia="Arial Unicode MS" w:hAnsi="Arial Unicode MS" w:cs="Arial Unicode MS"/>
        </w:rPr>
        <w:t xml:space="preserve"> the data of 2016 </w:t>
      </w:r>
      <w:r>
        <w:rPr>
          <w:rFonts w:ascii="Arial Unicode MS" w:eastAsia="Arial Unicode MS" w:hAnsi="Arial Unicode MS" w:cs="Arial Unicode MS" w:hint="eastAsia"/>
        </w:rPr>
        <w:t xml:space="preserve">is </w:t>
      </w:r>
      <w:r w:rsidRPr="00DC4392">
        <w:rPr>
          <w:rFonts w:ascii="Arial Unicode MS" w:eastAsia="Arial Unicode MS" w:hAnsi="Arial Unicode MS" w:cs="Arial Unicode MS"/>
        </w:rPr>
        <w:t>more concentrated than in 2015. Overall</w:t>
      </w:r>
      <w:r>
        <w:rPr>
          <w:rFonts w:ascii="Arial Unicode MS" w:eastAsia="Arial Unicode MS" w:hAnsi="Arial Unicode MS" w:cs="Arial Unicode MS" w:hint="eastAsia"/>
        </w:rPr>
        <w:t>, the</w:t>
      </w:r>
      <w:r w:rsidRPr="003D50D0">
        <w:rPr>
          <w:rFonts w:ascii="Arial Unicode MS" w:eastAsia="Arial Unicode MS" w:hAnsi="Arial Unicode MS" w:cs="Arial Unicode MS"/>
        </w:rPr>
        <w:t xml:space="preserve"> proportion</w:t>
      </w:r>
      <w:r>
        <w:rPr>
          <w:rFonts w:ascii="Arial Unicode MS" w:eastAsia="Arial Unicode MS" w:hAnsi="Arial Unicode MS" w:cs="Arial Unicode MS" w:hint="eastAsia"/>
        </w:rPr>
        <w:t xml:space="preserve"> of</w:t>
      </w:r>
      <w:r w:rsidRPr="00DC4392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household that have </w:t>
      </w:r>
      <w:r w:rsidR="00BA03F0">
        <w:rPr>
          <w:rFonts w:ascii="Arial Unicode MS" w:eastAsia="Arial Unicode MS" w:hAnsi="Arial Unicode MS" w:cs="Arial Unicode MS" w:hint="eastAsia"/>
        </w:rPr>
        <w:t>vehicles</w:t>
      </w:r>
      <w:r>
        <w:rPr>
          <w:rFonts w:ascii="Arial Unicode MS" w:eastAsia="Arial Unicode MS" w:hAnsi="Arial Unicode MS" w:cs="Arial Unicode MS" w:hint="eastAsia"/>
        </w:rPr>
        <w:t xml:space="preserve"> from 2015 to 2016 </w:t>
      </w:r>
      <w:r>
        <w:rPr>
          <w:rFonts w:ascii="Arial Unicode MS" w:eastAsia="Arial Unicode MS" w:hAnsi="Arial Unicode MS" w:cs="Arial Unicode MS"/>
        </w:rPr>
        <w:t>is on the rise, and focus</w:t>
      </w:r>
      <w:r w:rsidRPr="00DC4392">
        <w:rPr>
          <w:rFonts w:ascii="Arial Unicode MS" w:eastAsia="Arial Unicode MS" w:hAnsi="Arial Unicode MS" w:cs="Arial Unicode MS"/>
        </w:rPr>
        <w:t xml:space="preserve"> on a certain percentage.</w:t>
      </w:r>
    </w:p>
    <w:p w14:paraId="220EA233" w14:textId="77777777" w:rsidR="00E07618" w:rsidRPr="00C414C3" w:rsidRDefault="00E07618" w:rsidP="00E07618">
      <w:pPr>
        <w:ind w:firstLine="420"/>
        <w:rPr>
          <w:rFonts w:ascii="Arial Unicode MS" w:eastAsia="Arial Unicode MS" w:hAnsi="Arial Unicode MS" w:cs="Arial Unicode MS"/>
          <w:b/>
        </w:rPr>
      </w:pPr>
      <w:r w:rsidRPr="00C414C3">
        <w:rPr>
          <w:rFonts w:ascii="Arial Unicode MS" w:eastAsia="Arial Unicode MS" w:hAnsi="Arial Unicode MS" w:cs="Arial Unicode MS" w:hint="eastAsia"/>
          <w:b/>
        </w:rPr>
        <w:t>Q7</w:t>
      </w:r>
    </w:p>
    <w:p w14:paraId="26714124" w14:textId="77777777" w:rsidR="00E07618" w:rsidRDefault="00E07618" w:rsidP="00E07618">
      <w:pPr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636F018F" wp14:editId="349BAA8F">
            <wp:extent cx="5892800" cy="2560320"/>
            <wp:effectExtent l="0" t="0" r="12700" b="11430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DCC7E9" w14:textId="77777777" w:rsidR="00E07618" w:rsidRPr="00920411" w:rsidRDefault="00E07618" w:rsidP="00E07618">
      <w:pPr>
        <w:rPr>
          <w:rFonts w:ascii="Arial Unicode MS" w:eastAsia="Arial Unicode MS" w:hAnsi="Arial Unicode MS" w:cs="Arial Unicode MS"/>
        </w:rPr>
      </w:pPr>
      <w:r w:rsidRPr="007B08BE">
        <w:rPr>
          <w:rFonts w:ascii="Arial Unicode MS" w:eastAsia="Arial Unicode MS" w:hAnsi="Arial Unicode MS" w:cs="Arial Unicode MS"/>
        </w:rPr>
        <w:t xml:space="preserve">I think </w:t>
      </w:r>
      <w:r>
        <w:rPr>
          <w:rFonts w:ascii="Arial Unicode MS" w:eastAsia="Arial Unicode MS" w:hAnsi="Arial Unicode MS" w:cs="Arial Unicode MS" w:hint="eastAsia"/>
        </w:rPr>
        <w:t>th</w:t>
      </w:r>
      <w:r>
        <w:rPr>
          <w:rFonts w:ascii="Arial Unicode MS" w:eastAsia="Arial Unicode MS" w:hAnsi="Arial Unicode MS" w:cs="Arial Unicode MS"/>
        </w:rPr>
        <w:t xml:space="preserve">ere </w:t>
      </w:r>
      <w:r>
        <w:rPr>
          <w:rFonts w:ascii="Arial Unicode MS" w:eastAsia="Arial Unicode MS" w:hAnsi="Arial Unicode MS" w:cs="Arial Unicode MS" w:hint="eastAsia"/>
        </w:rPr>
        <w:t xml:space="preserve">is a </w:t>
      </w:r>
      <w:r w:rsidRPr="00440F12">
        <w:rPr>
          <w:rFonts w:ascii="Arial Unicode MS" w:eastAsia="Arial Unicode MS" w:hAnsi="Arial Unicode MS" w:cs="Arial Unicode MS"/>
        </w:rPr>
        <w:t>correlation</w:t>
      </w:r>
      <w:r>
        <w:rPr>
          <w:rFonts w:ascii="Arial Unicode MS" w:eastAsia="Arial Unicode MS" w:hAnsi="Arial Unicode MS" w:cs="Arial Unicode MS"/>
        </w:rPr>
        <w:t xml:space="preserve"> between the two </w:t>
      </w:r>
      <w:r w:rsidRPr="00440F12">
        <w:rPr>
          <w:rFonts w:ascii="Arial Unicode MS" w:eastAsia="Arial Unicode MS" w:hAnsi="Arial Unicode MS" w:cs="Arial Unicode MS"/>
        </w:rPr>
        <w:t>quantities</w:t>
      </w:r>
      <w:r w:rsidRPr="007B08BE">
        <w:rPr>
          <w:rFonts w:ascii="Arial Unicode MS" w:eastAsia="Arial Unicode MS" w:hAnsi="Arial Unicode MS" w:cs="Arial Unicode MS"/>
        </w:rPr>
        <w:t>. In the</w:t>
      </w:r>
      <w:r>
        <w:rPr>
          <w:rFonts w:ascii="Arial Unicode MS" w:eastAsia="Arial Unicode MS" w:hAnsi="Arial Unicode MS" w:cs="Arial Unicode MS"/>
        </w:rPr>
        <w:t xml:space="preserve"> case of a scatter diagram shows,</w:t>
      </w:r>
      <w:r>
        <w:rPr>
          <w:rFonts w:ascii="Arial Unicode MS" w:eastAsia="Arial Unicode MS" w:hAnsi="Arial Unicode MS" w:cs="Arial Unicode MS" w:hint="eastAsia"/>
        </w:rPr>
        <w:t xml:space="preserve"> each</w:t>
      </w:r>
      <w:r>
        <w:rPr>
          <w:rFonts w:ascii="Arial Unicode MS" w:eastAsia="Arial Unicode MS" w:hAnsi="Arial Unicode MS" w:cs="Arial Unicode MS"/>
        </w:rPr>
        <w:t xml:space="preserve"> </w:t>
      </w:r>
      <w:r w:rsidRPr="007B08BE">
        <w:rPr>
          <w:rFonts w:ascii="Arial Unicode MS" w:eastAsia="Arial Unicode MS" w:hAnsi="Arial Unicode MS" w:cs="Arial Unicode MS"/>
        </w:rPr>
        <w:t>2015 data has a 2016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7B08BE">
        <w:rPr>
          <w:rFonts w:ascii="Arial Unicode MS" w:eastAsia="Arial Unicode MS" w:hAnsi="Arial Unicode MS" w:cs="Arial Unicode MS"/>
        </w:rPr>
        <w:t>data</w:t>
      </w:r>
      <w:r w:rsidRPr="00440F12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that is f</w:t>
      </w:r>
      <w:r w:rsidRPr="00440F12">
        <w:rPr>
          <w:rFonts w:ascii="Arial Unicode MS" w:eastAsia="Arial Unicode MS" w:hAnsi="Arial Unicode MS" w:cs="Arial Unicode MS"/>
        </w:rPr>
        <w:t>airly close</w:t>
      </w:r>
      <w:r>
        <w:rPr>
          <w:rFonts w:ascii="Arial Unicode MS" w:eastAsia="Arial Unicode MS" w:hAnsi="Arial Unicode MS" w:cs="Arial Unicode MS" w:hint="eastAsia"/>
        </w:rPr>
        <w:t xml:space="preserve"> to it.</w:t>
      </w:r>
      <w:r w:rsidRPr="007B08BE">
        <w:rPr>
          <w:rFonts w:ascii="Arial Unicode MS" w:eastAsia="Arial Unicode MS" w:hAnsi="Arial Unicode MS" w:cs="Arial Unicode MS"/>
        </w:rPr>
        <w:t xml:space="preserve"> Concluded that there is some of the same rule, makes them distribute </w:t>
      </w:r>
      <w:r>
        <w:rPr>
          <w:rFonts w:ascii="Arial Unicode MS" w:eastAsia="Arial Unicode MS" w:hAnsi="Arial Unicode MS" w:cs="Arial Unicode MS" w:hint="eastAsia"/>
        </w:rPr>
        <w:t xml:space="preserve">in such a </w:t>
      </w:r>
      <w:r w:rsidRPr="007B08BE">
        <w:rPr>
          <w:rFonts w:ascii="Arial Unicode MS" w:eastAsia="Arial Unicode MS" w:hAnsi="Arial Unicode MS" w:cs="Arial Unicode MS"/>
        </w:rPr>
        <w:t xml:space="preserve">uniform </w:t>
      </w:r>
      <w:r>
        <w:rPr>
          <w:rFonts w:ascii="Arial Unicode MS" w:eastAsia="Arial Unicode MS" w:hAnsi="Arial Unicode MS" w:cs="Arial Unicode MS" w:hint="eastAsia"/>
        </w:rPr>
        <w:t>and</w:t>
      </w:r>
      <w:r w:rsidRPr="007B08BE">
        <w:rPr>
          <w:rFonts w:ascii="Arial Unicode MS" w:eastAsia="Arial Unicode MS" w:hAnsi="Arial Unicode MS" w:cs="Arial Unicode MS"/>
        </w:rPr>
        <w:t xml:space="preserve"> harmonious</w:t>
      </w:r>
      <w:r>
        <w:rPr>
          <w:rFonts w:ascii="Arial Unicode MS" w:eastAsia="Arial Unicode MS" w:hAnsi="Arial Unicode MS" w:cs="Arial Unicode MS" w:hint="eastAsia"/>
        </w:rPr>
        <w:t xml:space="preserve"> way</w:t>
      </w:r>
      <w:r w:rsidRPr="007B08BE">
        <w:rPr>
          <w:rFonts w:ascii="Arial Unicode MS" w:eastAsia="Arial Unicode MS" w:hAnsi="Arial Unicode MS" w:cs="Arial Unicode MS"/>
        </w:rPr>
        <w:t>. Second, the average family car ownership of a state in the course of a year is not going to happen very big change, in the second year of ownership depends largely on the continent for the first year the average ownership of every family.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7B08BE">
        <w:rPr>
          <w:rFonts w:ascii="Arial Unicode MS" w:eastAsia="Arial Unicode MS" w:hAnsi="Arial Unicode MS" w:cs="Arial Unicode MS"/>
        </w:rPr>
        <w:t>Car</w:t>
      </w:r>
      <w:r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/>
        </w:rPr>
        <w:t xml:space="preserve"> for general family, </w:t>
      </w:r>
      <w:r w:rsidRPr="007B08BE">
        <w:rPr>
          <w:rFonts w:ascii="Arial Unicode MS" w:eastAsia="Arial Unicode MS" w:hAnsi="Arial Unicode MS" w:cs="Arial Unicode MS"/>
        </w:rPr>
        <w:t>belongs to the durable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7B08BE">
        <w:rPr>
          <w:rFonts w:ascii="Arial Unicode MS" w:eastAsia="Arial Unicode MS" w:hAnsi="Arial Unicode MS" w:cs="Arial Unicode MS"/>
        </w:rPr>
        <w:t>and co</w:t>
      </w:r>
      <w:r>
        <w:rPr>
          <w:rFonts w:ascii="Arial Unicode MS" w:eastAsia="Arial Unicode MS" w:hAnsi="Arial Unicode MS" w:cs="Arial Unicode MS"/>
        </w:rPr>
        <w:t>nsumable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lastRenderedPageBreak/>
        <w:t>good,</w:t>
      </w:r>
      <w:r w:rsidRPr="007B08BE">
        <w:rPr>
          <w:rFonts w:ascii="Arial Unicode MS" w:eastAsia="Arial Unicode MS" w:hAnsi="Arial Unicode MS" w:cs="Arial Unicode MS"/>
        </w:rPr>
        <w:t xml:space="preserve"> the demand of </w:t>
      </w:r>
      <w:r>
        <w:rPr>
          <w:rFonts w:ascii="Arial Unicode MS" w:eastAsia="Arial Unicode MS" w:hAnsi="Arial Unicode MS" w:cs="Arial Unicode MS" w:hint="eastAsia"/>
        </w:rPr>
        <w:t xml:space="preserve">which commonly </w:t>
      </w:r>
      <w:r w:rsidRPr="007B08BE">
        <w:rPr>
          <w:rFonts w:ascii="Arial Unicode MS" w:eastAsia="Arial Unicode MS" w:hAnsi="Arial Unicode MS" w:cs="Arial Unicode MS"/>
        </w:rPr>
        <w:t xml:space="preserve">will not </w:t>
      </w:r>
      <w:r>
        <w:rPr>
          <w:rFonts w:ascii="Arial Unicode MS" w:eastAsia="Arial Unicode MS" w:hAnsi="Arial Unicode MS" w:cs="Arial Unicode MS" w:hint="eastAsia"/>
        </w:rPr>
        <w:t>change sharply</w:t>
      </w:r>
      <w:r>
        <w:rPr>
          <w:rFonts w:ascii="Arial Unicode MS" w:eastAsia="Arial Unicode MS" w:hAnsi="Arial Unicode MS" w:cs="Arial Unicode MS"/>
        </w:rPr>
        <w:t xml:space="preserve"> in a year</w:t>
      </w:r>
      <w:r>
        <w:rPr>
          <w:rFonts w:ascii="Arial Unicode MS" w:eastAsia="Arial Unicode MS" w:hAnsi="Arial Unicode MS" w:cs="Arial Unicode MS" w:hint="eastAsia"/>
        </w:rPr>
        <w:t>,</w:t>
      </w:r>
      <w:r w:rsidRPr="007B08BE">
        <w:rPr>
          <w:rFonts w:ascii="Arial Unicode MS" w:eastAsia="Arial Unicode MS" w:hAnsi="Arial Unicode MS" w:cs="Arial Unicode MS"/>
        </w:rPr>
        <w:t xml:space="preserve"> but </w:t>
      </w:r>
      <w:r>
        <w:rPr>
          <w:rFonts w:ascii="Arial Unicode MS" w:eastAsia="Arial Unicode MS" w:hAnsi="Arial Unicode MS" w:cs="Arial Unicode MS" w:hint="eastAsia"/>
        </w:rPr>
        <w:t xml:space="preserve">would be </w:t>
      </w:r>
      <w:r w:rsidRPr="007B08BE">
        <w:rPr>
          <w:rFonts w:ascii="Arial Unicode MS" w:eastAsia="Arial Unicode MS" w:hAnsi="Arial Unicode MS" w:cs="Arial Unicode MS"/>
        </w:rPr>
        <w:t xml:space="preserve">steady at a </w:t>
      </w:r>
      <w:r>
        <w:rPr>
          <w:rFonts w:ascii="Arial Unicode MS" w:eastAsia="Arial Unicode MS" w:hAnsi="Arial Unicode MS" w:cs="Arial Unicode MS" w:hint="eastAsia"/>
        </w:rPr>
        <w:t xml:space="preserve">relatively </w:t>
      </w:r>
      <w:r>
        <w:rPr>
          <w:rFonts w:ascii="Arial Unicode MS" w:eastAsia="Arial Unicode MS" w:hAnsi="Arial Unicode MS" w:cs="Arial Unicode MS"/>
        </w:rPr>
        <w:t>fixed value</w:t>
      </w:r>
      <w:r>
        <w:rPr>
          <w:rFonts w:ascii="Arial Unicode MS" w:eastAsia="Arial Unicode MS" w:hAnsi="Arial Unicode MS" w:cs="Arial Unicode MS" w:hint="eastAsia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T</w:t>
      </w:r>
      <w:r>
        <w:rPr>
          <w:rFonts w:ascii="Arial Unicode MS" w:eastAsia="Arial Unicode MS" w:hAnsi="Arial Unicode MS" w:cs="Arial Unicode MS"/>
        </w:rPr>
        <w:t>he change between the two years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7B08BE">
        <w:rPr>
          <w:rFonts w:ascii="Arial Unicode MS" w:eastAsia="Arial Unicode MS" w:hAnsi="Arial Unicode MS" w:cs="Arial Unicode MS"/>
        </w:rPr>
        <w:t>on average to each family</w:t>
      </w:r>
      <w:r>
        <w:rPr>
          <w:rFonts w:ascii="Arial Unicode MS" w:eastAsia="Arial Unicode MS" w:hAnsi="Arial Unicode MS" w:cs="Arial Unicode MS" w:hint="eastAsia"/>
        </w:rPr>
        <w:t xml:space="preserve"> would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be little as well.</w:t>
      </w:r>
    </w:p>
    <w:p w14:paraId="6DEE1A92" w14:textId="77777777" w:rsidR="00E07618" w:rsidRDefault="00E07618" w:rsidP="00E07618">
      <w:pPr>
        <w:pStyle w:val="ListParagraph"/>
        <w:ind w:left="840" w:firstLineChars="0" w:firstLine="0"/>
        <w:rPr>
          <w:rFonts w:ascii="Arial Unicode MS" w:eastAsia="Arial Unicode MS" w:hAnsi="Arial Unicode MS" w:cs="Arial Unicode MS"/>
        </w:rPr>
      </w:pPr>
    </w:p>
    <w:p w14:paraId="627E4694" w14:textId="77777777" w:rsidR="00E07618" w:rsidRPr="00E07618" w:rsidRDefault="00E07618" w:rsidP="00E07618">
      <w:pPr>
        <w:rPr>
          <w:rFonts w:ascii="Arial Unicode MS" w:eastAsia="Arial Unicode MS" w:hAnsi="Arial Unicode MS" w:cs="Arial Unicode MS"/>
        </w:rPr>
      </w:pPr>
    </w:p>
    <w:p w14:paraId="21667934" w14:textId="77777777" w:rsidR="00E07618" w:rsidRPr="009B196C" w:rsidRDefault="00E07618" w:rsidP="00E07618">
      <w:pPr>
        <w:pStyle w:val="ListParagraph"/>
        <w:numPr>
          <w:ilvl w:val="0"/>
          <w:numId w:val="8"/>
        </w:numPr>
        <w:ind w:firstLineChars="0"/>
        <w:rPr>
          <w:rFonts w:ascii="Arial Unicode MS" w:eastAsia="Arial Unicode MS" w:hAnsi="Arial Unicode MS" w:cs="Arial Unicode MS"/>
          <w:sz w:val="32"/>
        </w:rPr>
      </w:pPr>
      <w:r w:rsidRPr="009B196C">
        <w:rPr>
          <w:rFonts w:ascii="Arial Unicode MS" w:eastAsia="Arial Unicode MS" w:hAnsi="Arial Unicode MS" w:cs="Arial Unicode MS" w:hint="eastAsia"/>
          <w:sz w:val="32"/>
        </w:rPr>
        <w:t>Conclusion</w:t>
      </w:r>
    </w:p>
    <w:p w14:paraId="734486C5" w14:textId="77777777" w:rsidR="00C414C3" w:rsidRDefault="00F9771F" w:rsidP="00BA03F0">
      <w:pPr>
        <w:pStyle w:val="ListParagraph"/>
        <w:ind w:left="840" w:firstLine="480"/>
        <w:rPr>
          <w:rFonts w:ascii="Arial Unicode MS" w:eastAsia="Arial Unicode MS" w:hAnsi="Arial Unicode MS" w:cs="Arial Unicode MS"/>
        </w:rPr>
      </w:pPr>
      <w:r w:rsidRPr="00F9771F">
        <w:rPr>
          <w:rFonts w:ascii="Arial Unicode MS" w:eastAsia="Arial Unicode MS" w:hAnsi="Arial Unicode MS" w:cs="Arial Unicode MS"/>
        </w:rPr>
        <w:t>Overall,</w:t>
      </w:r>
      <w:r w:rsidR="00BA03F0">
        <w:rPr>
          <w:rFonts w:ascii="Arial Unicode MS" w:eastAsia="Arial Unicode MS" w:hAnsi="Arial Unicode MS" w:cs="Arial Unicode MS" w:hint="eastAsia"/>
        </w:rPr>
        <w:t xml:space="preserve"> </w:t>
      </w:r>
      <w:r w:rsidR="00BA03F0" w:rsidRPr="00BA03F0">
        <w:rPr>
          <w:rFonts w:ascii="Arial Unicode MS" w:eastAsia="Arial Unicode MS" w:hAnsi="Arial Unicode MS" w:cs="Arial Unicode MS"/>
        </w:rPr>
        <w:t xml:space="preserve">the data </w:t>
      </w:r>
      <w:r w:rsidR="00BA03F0">
        <w:rPr>
          <w:rFonts w:ascii="Arial Unicode MS" w:eastAsia="Arial Unicode MS" w:hAnsi="Arial Unicode MS" w:cs="Arial Unicode MS" w:hint="eastAsia"/>
        </w:rPr>
        <w:t xml:space="preserve">of household without vehicles </w:t>
      </w:r>
      <w:r w:rsidR="00BA03F0">
        <w:rPr>
          <w:rFonts w:ascii="Arial Unicode MS" w:eastAsia="Arial Unicode MS" w:hAnsi="Arial Unicode MS" w:cs="Arial Unicode MS"/>
        </w:rPr>
        <w:t>presented in 2016 is decreasing</w:t>
      </w:r>
      <w:r w:rsidR="00BA03F0">
        <w:rPr>
          <w:rFonts w:ascii="Arial Unicode MS" w:eastAsia="Arial Unicode MS" w:hAnsi="Arial Unicode MS" w:cs="Arial Unicode MS" w:hint="eastAsia"/>
        </w:rPr>
        <w:t xml:space="preserve">, and </w:t>
      </w:r>
      <w:r w:rsidR="00BA03F0" w:rsidRPr="00BA03F0">
        <w:rPr>
          <w:rFonts w:ascii="Arial Unicode MS" w:eastAsia="Arial Unicode MS" w:hAnsi="Arial Unicode MS" w:cs="Arial Unicode MS"/>
        </w:rPr>
        <w:t>the data of 2016 is more concentrated than in 2015</w:t>
      </w:r>
      <w:r w:rsidR="00BA03F0">
        <w:rPr>
          <w:rFonts w:ascii="Arial Unicode MS" w:eastAsia="Arial Unicode MS" w:hAnsi="Arial Unicode MS" w:cs="Arial Unicode MS" w:hint="eastAsia"/>
        </w:rPr>
        <w:t xml:space="preserve">, meaning </w:t>
      </w:r>
      <w:r w:rsidRPr="00BA03F0">
        <w:rPr>
          <w:rFonts w:ascii="Arial Unicode MS" w:eastAsia="Arial Unicode MS" w:hAnsi="Arial Unicode MS" w:cs="Arial Unicode MS"/>
        </w:rPr>
        <w:t xml:space="preserve">the proportion of household that have </w:t>
      </w:r>
      <w:r w:rsidR="00BA03F0">
        <w:rPr>
          <w:rFonts w:ascii="Arial Unicode MS" w:eastAsia="Arial Unicode MS" w:hAnsi="Arial Unicode MS" w:cs="Arial Unicode MS"/>
        </w:rPr>
        <w:t>vehicle</w:t>
      </w:r>
      <w:r w:rsidR="00BA03F0" w:rsidRPr="00BA03F0">
        <w:rPr>
          <w:rFonts w:ascii="Arial Unicode MS" w:eastAsia="Arial Unicode MS" w:hAnsi="Arial Unicode MS" w:cs="Arial Unicode MS" w:hint="eastAsia"/>
        </w:rPr>
        <w:t>s</w:t>
      </w:r>
      <w:r w:rsidRPr="00BA03F0">
        <w:rPr>
          <w:rFonts w:ascii="Arial Unicode MS" w:eastAsia="Arial Unicode MS" w:hAnsi="Arial Unicode MS" w:cs="Arial Unicode MS"/>
        </w:rPr>
        <w:t xml:space="preserve"> from 2015 to 2016 is on the rise</w:t>
      </w:r>
      <w:r w:rsidRPr="00BA03F0">
        <w:rPr>
          <w:rFonts w:ascii="Arial Unicode MS" w:eastAsia="Arial Unicode MS" w:hAnsi="Arial Unicode MS" w:cs="Arial Unicode MS" w:hint="eastAsia"/>
        </w:rPr>
        <w:t xml:space="preserve">. </w:t>
      </w:r>
      <w:r w:rsidR="00BA03F0">
        <w:rPr>
          <w:rFonts w:ascii="Arial Unicode MS" w:eastAsia="Arial Unicode MS" w:hAnsi="Arial Unicode MS" w:cs="Arial Unicode MS" w:hint="eastAsia"/>
        </w:rPr>
        <w:t>T</w:t>
      </w:r>
      <w:r w:rsidR="00BA03F0" w:rsidRPr="00BA03F0">
        <w:rPr>
          <w:rFonts w:ascii="Arial Unicode MS" w:eastAsia="Arial Unicode MS" w:hAnsi="Arial Unicode MS" w:cs="Arial Unicode MS"/>
        </w:rPr>
        <w:t>he most common</w:t>
      </w:r>
      <w:r w:rsidR="00BA03F0">
        <w:rPr>
          <w:rFonts w:ascii="Arial Unicode MS" w:eastAsia="Arial Unicode MS" w:hAnsi="Arial Unicode MS" w:cs="Arial Unicode MS"/>
        </w:rPr>
        <w:t xml:space="preserve"> relative frequency percentage</w:t>
      </w:r>
      <w:r w:rsidR="00BA03F0">
        <w:rPr>
          <w:rFonts w:ascii="Arial Unicode MS" w:eastAsia="Arial Unicode MS" w:hAnsi="Arial Unicode MS" w:cs="Arial Unicode MS" w:hint="eastAsia"/>
        </w:rPr>
        <w:t xml:space="preserve"> is at the</w:t>
      </w:r>
      <w:r w:rsidR="00BA03F0" w:rsidRPr="00BA03F0">
        <w:rPr>
          <w:rFonts w:ascii="Arial Unicode MS" w:eastAsia="Arial Unicode MS" w:hAnsi="Arial Unicode MS" w:cs="Arial Unicode MS"/>
        </w:rPr>
        <w:t xml:space="preserve"> rate of 5%</w:t>
      </w:r>
      <w:r w:rsidR="00BA03F0">
        <w:rPr>
          <w:rFonts w:ascii="Arial Unicode MS" w:eastAsia="Arial Unicode MS" w:hAnsi="Arial Unicode MS" w:cs="Arial Unicode MS" w:hint="eastAsia"/>
        </w:rPr>
        <w:t xml:space="preserve"> </w:t>
      </w:r>
      <w:r w:rsidR="00BA03F0" w:rsidRPr="00BA03F0">
        <w:rPr>
          <w:rFonts w:ascii="Arial Unicode MS" w:eastAsia="Arial Unicode MS" w:hAnsi="Arial Unicode MS" w:cs="Arial Unicode MS"/>
        </w:rPr>
        <w:t>- 7.5%</w:t>
      </w:r>
      <w:r w:rsidR="00BA03F0">
        <w:rPr>
          <w:rFonts w:ascii="Arial Unicode MS" w:eastAsia="Arial Unicode MS" w:hAnsi="Arial Unicode MS" w:cs="Arial Unicode MS" w:hint="eastAsia"/>
        </w:rPr>
        <w:t xml:space="preserve">. And the outliers are six cities that show vehicles per household below 1 in both 2015 and 2016. </w:t>
      </w:r>
      <w:r w:rsidRPr="00BA03F0">
        <w:rPr>
          <w:rFonts w:ascii="Arial Unicode MS" w:eastAsia="Arial Unicode MS" w:hAnsi="Arial Unicode MS" w:cs="Arial Unicode MS"/>
        </w:rPr>
        <w:t xml:space="preserve">80% of </w:t>
      </w:r>
      <w:r w:rsidR="00BA03F0" w:rsidRPr="00BA03F0">
        <w:rPr>
          <w:rFonts w:ascii="Arial Unicode MS" w:eastAsia="Arial Unicode MS" w:hAnsi="Arial Unicode MS" w:cs="Arial Unicode MS"/>
        </w:rPr>
        <w:t>household without vehicles</w:t>
      </w:r>
      <w:r w:rsidRPr="00BA03F0">
        <w:rPr>
          <w:rFonts w:ascii="Arial Unicode MS" w:eastAsia="Arial Unicode MS" w:hAnsi="Arial Unicode MS" w:cs="Arial Unicode MS"/>
        </w:rPr>
        <w:t xml:space="preserve"> is concentrated below 12.5%</w:t>
      </w:r>
      <w:r w:rsidR="00BA03F0" w:rsidRPr="00BA03F0">
        <w:rPr>
          <w:rFonts w:ascii="Arial Unicode MS" w:eastAsia="Arial Unicode MS" w:hAnsi="Arial Unicode MS" w:cs="Arial Unicode MS" w:hint="eastAsia"/>
        </w:rPr>
        <w:t xml:space="preserve"> percentage level</w:t>
      </w:r>
      <w:r w:rsidRPr="00BA03F0">
        <w:rPr>
          <w:rFonts w:ascii="Arial Unicode MS" w:eastAsia="Arial Unicode MS" w:hAnsi="Arial Unicode MS" w:cs="Arial Unicode MS"/>
        </w:rPr>
        <w:t>, while the data above 12.5% is not significantly changed in the cumulative frequency line plot</w:t>
      </w:r>
      <w:r w:rsidRPr="00BA03F0">
        <w:rPr>
          <w:rFonts w:ascii="Arial Unicode MS" w:eastAsia="Arial Unicode MS" w:hAnsi="Arial Unicode MS" w:cs="Arial Unicode MS" w:hint="eastAsia"/>
        </w:rPr>
        <w:t>.</w:t>
      </w:r>
    </w:p>
    <w:p w14:paraId="26F32D54" w14:textId="77777777" w:rsidR="009B196C" w:rsidRDefault="009B196C" w:rsidP="00BA03F0">
      <w:pPr>
        <w:pStyle w:val="ListParagraph"/>
        <w:ind w:left="840" w:firstLine="480"/>
        <w:rPr>
          <w:rFonts w:ascii="Arial Unicode MS" w:eastAsia="Arial Unicode MS" w:hAnsi="Arial Unicode MS" w:cs="Arial Unicode MS"/>
        </w:rPr>
      </w:pPr>
    </w:p>
    <w:p w14:paraId="5A1EA96F" w14:textId="77777777" w:rsidR="009B196C" w:rsidRDefault="009B196C" w:rsidP="00BA03F0">
      <w:pPr>
        <w:pStyle w:val="ListParagraph"/>
        <w:ind w:left="840" w:firstLine="480"/>
        <w:rPr>
          <w:rFonts w:ascii="Arial Unicode MS" w:eastAsia="Arial Unicode MS" w:hAnsi="Arial Unicode MS" w:cs="Arial Unicode MS"/>
        </w:rPr>
      </w:pPr>
    </w:p>
    <w:p w14:paraId="6556F0D2" w14:textId="77777777" w:rsidR="009B196C" w:rsidRDefault="009B196C" w:rsidP="00BA03F0">
      <w:pPr>
        <w:pStyle w:val="ListParagraph"/>
        <w:ind w:left="840" w:firstLine="480"/>
        <w:rPr>
          <w:rFonts w:ascii="Arial Unicode MS" w:eastAsia="Arial Unicode MS" w:hAnsi="Arial Unicode MS" w:cs="Arial Unicode MS"/>
        </w:rPr>
      </w:pPr>
    </w:p>
    <w:p w14:paraId="0976EC57" w14:textId="77777777" w:rsidR="00C8741C" w:rsidRDefault="00C8741C">
      <w:pPr>
        <w:widowControl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53619EE6" w14:textId="63107575" w:rsidR="009B196C" w:rsidRPr="00C8741C" w:rsidRDefault="009B196C" w:rsidP="00C8741C">
      <w:pPr>
        <w:jc w:val="center"/>
        <w:rPr>
          <w:rFonts w:ascii="Arial Unicode MS" w:eastAsia="Arial Unicode MS" w:hAnsi="Arial Unicode MS" w:cs="Arial Unicode MS"/>
        </w:rPr>
      </w:pPr>
      <w:r w:rsidRPr="00C8741C">
        <w:rPr>
          <w:rFonts w:ascii="Arial Unicode MS" w:eastAsia="Arial Unicode MS" w:hAnsi="Arial Unicode MS" w:cs="Arial Unicode MS" w:hint="eastAsia"/>
        </w:rPr>
        <w:lastRenderedPageBreak/>
        <w:t>Reference</w:t>
      </w:r>
    </w:p>
    <w:p w14:paraId="6319CBFF" w14:textId="46CE2597" w:rsidR="00BA03F0" w:rsidRPr="00C8741C" w:rsidRDefault="009B196C" w:rsidP="00C8741C">
      <w:pPr>
        <w:jc w:val="left"/>
        <w:rPr>
          <w:rFonts w:ascii="Arial Unicode MS" w:eastAsia="Arial Unicode MS" w:hAnsi="Arial Unicode MS" w:cs="Arial Unicode MS"/>
        </w:rPr>
      </w:pPr>
      <w:r w:rsidRPr="00C8741C">
        <w:rPr>
          <w:rFonts w:ascii="Arial Unicode MS" w:eastAsia="Arial Unicode MS" w:hAnsi="Arial Unicode MS" w:cs="Arial Unicode MS"/>
        </w:rPr>
        <w:t>New York City's Population Is Shrinking: Demographic Trends</w:t>
      </w:r>
      <w:r w:rsidRPr="00C8741C">
        <w:rPr>
          <w:rFonts w:ascii="Arial Unicode MS" w:eastAsia="Arial Unicode MS" w:hAnsi="Arial Unicode MS" w:cs="Arial Unicode MS" w:hint="eastAsia"/>
        </w:rPr>
        <w:t xml:space="preserve">, </w:t>
      </w:r>
      <w:r w:rsidRPr="00C8741C">
        <w:rPr>
          <w:rFonts w:ascii="Arial Unicode MS" w:eastAsia="Arial Unicode MS" w:hAnsi="Arial Unicode MS" w:cs="Arial Unicode MS"/>
        </w:rPr>
        <w:t>Alexandre</w:t>
      </w:r>
      <w:r w:rsidRPr="00C8741C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C8741C">
        <w:rPr>
          <w:rFonts w:ascii="Arial Unicode MS" w:eastAsia="Arial Unicode MS" w:hAnsi="Arial Unicode MS" w:cs="Arial Unicode MS"/>
        </w:rPr>
        <w:t>Tanz</w:t>
      </w:r>
      <w:r w:rsidRPr="00C8741C">
        <w:rPr>
          <w:rFonts w:ascii="Arial Unicode MS" w:eastAsia="Arial Unicode MS" w:hAnsi="Arial Unicode MS" w:cs="Arial Unicode MS" w:hint="eastAsia"/>
        </w:rPr>
        <w:t>i</w:t>
      </w:r>
      <w:proofErr w:type="spellEnd"/>
      <w:r w:rsidR="00C8741C">
        <w:rPr>
          <w:rFonts w:ascii="Arial Unicode MS" w:eastAsia="Arial Unicode MS" w:hAnsi="Arial Unicode MS" w:cs="Arial Unicode MS"/>
        </w:rPr>
        <w:t>, Retrieved f</w:t>
      </w:r>
      <w:r w:rsidRPr="00C8741C">
        <w:rPr>
          <w:rFonts w:ascii="Arial Unicode MS" w:eastAsia="Arial Unicode MS" w:hAnsi="Arial Unicode MS" w:cs="Arial Unicode MS" w:hint="eastAsia"/>
        </w:rPr>
        <w:t>rom</w:t>
      </w:r>
      <w:r w:rsidR="00C8741C">
        <w:rPr>
          <w:rFonts w:ascii="Arial Unicode MS" w:eastAsia="Arial Unicode MS" w:hAnsi="Arial Unicode MS" w:cs="Arial Unicode MS"/>
        </w:rPr>
        <w:t xml:space="preserve">, </w:t>
      </w:r>
      <w:r w:rsidRPr="00C8741C">
        <w:rPr>
          <w:rFonts w:ascii="Arial Unicode MS" w:eastAsia="Arial Unicode MS" w:hAnsi="Arial Unicode MS" w:cs="Arial Unicode MS"/>
        </w:rPr>
        <w:t>https://www.bloomberg.com/news/articles/2019-04-18/new-york-city-s-population-is-shrinking-demographic-trends</w:t>
      </w:r>
    </w:p>
    <w:sectPr w:rsidR="00BA03F0" w:rsidRPr="00C87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C183" w14:textId="77777777" w:rsidR="005C1695" w:rsidRDefault="005C1695" w:rsidP="00D03F53">
      <w:r>
        <w:separator/>
      </w:r>
    </w:p>
  </w:endnote>
  <w:endnote w:type="continuationSeparator" w:id="0">
    <w:p w14:paraId="545FD883" w14:textId="77777777" w:rsidR="005C1695" w:rsidRDefault="005C1695" w:rsidP="00D0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icrosoft YaHei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0FD0A" w14:textId="77777777" w:rsidR="005C1695" w:rsidRDefault="005C1695" w:rsidP="00D03F53">
      <w:r>
        <w:separator/>
      </w:r>
    </w:p>
  </w:footnote>
  <w:footnote w:type="continuationSeparator" w:id="0">
    <w:p w14:paraId="3FCC1E33" w14:textId="77777777" w:rsidR="005C1695" w:rsidRDefault="005C1695" w:rsidP="00D03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7A86"/>
    <w:multiLevelType w:val="hybridMultilevel"/>
    <w:tmpl w:val="23B2EF6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B05EA9"/>
    <w:multiLevelType w:val="hybridMultilevel"/>
    <w:tmpl w:val="85F6D284"/>
    <w:lvl w:ilvl="0" w:tplc="11A65B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B22282"/>
    <w:multiLevelType w:val="hybridMultilevel"/>
    <w:tmpl w:val="AD980C66"/>
    <w:lvl w:ilvl="0" w:tplc="11A65B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5020D2"/>
    <w:multiLevelType w:val="hybridMultilevel"/>
    <w:tmpl w:val="AECAF5BA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4" w15:restartNumberingAfterBreak="0">
    <w:nsid w:val="22FE2E32"/>
    <w:multiLevelType w:val="hybridMultilevel"/>
    <w:tmpl w:val="ADD20178"/>
    <w:lvl w:ilvl="0" w:tplc="17C2C164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506F0B"/>
    <w:multiLevelType w:val="hybridMultilevel"/>
    <w:tmpl w:val="A036C37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D90FAD"/>
    <w:multiLevelType w:val="hybridMultilevel"/>
    <w:tmpl w:val="26F03A3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10591E"/>
    <w:multiLevelType w:val="hybridMultilevel"/>
    <w:tmpl w:val="1F8A7684"/>
    <w:lvl w:ilvl="0" w:tplc="11A65B8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E1C5FDF"/>
    <w:multiLevelType w:val="hybridMultilevel"/>
    <w:tmpl w:val="6096F96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BC2A1F"/>
    <w:multiLevelType w:val="hybridMultilevel"/>
    <w:tmpl w:val="20329FD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4D1E75"/>
    <w:multiLevelType w:val="hybridMultilevel"/>
    <w:tmpl w:val="44A28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D810D88"/>
    <w:multiLevelType w:val="hybridMultilevel"/>
    <w:tmpl w:val="8254577C"/>
    <w:lvl w:ilvl="0" w:tplc="11A65B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1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426"/>
    <w:rsid w:val="0014313D"/>
    <w:rsid w:val="001666B5"/>
    <w:rsid w:val="00223694"/>
    <w:rsid w:val="002612FA"/>
    <w:rsid w:val="002829A5"/>
    <w:rsid w:val="0028765B"/>
    <w:rsid w:val="002A131B"/>
    <w:rsid w:val="002E519C"/>
    <w:rsid w:val="003505A0"/>
    <w:rsid w:val="0035563B"/>
    <w:rsid w:val="003D50D0"/>
    <w:rsid w:val="00415356"/>
    <w:rsid w:val="00440F12"/>
    <w:rsid w:val="005A29D3"/>
    <w:rsid w:val="005C1695"/>
    <w:rsid w:val="006C3E9A"/>
    <w:rsid w:val="007A311C"/>
    <w:rsid w:val="007B08BE"/>
    <w:rsid w:val="00920411"/>
    <w:rsid w:val="00994CCD"/>
    <w:rsid w:val="009B196C"/>
    <w:rsid w:val="009C290B"/>
    <w:rsid w:val="00B54487"/>
    <w:rsid w:val="00BA03F0"/>
    <w:rsid w:val="00BF016E"/>
    <w:rsid w:val="00C06BDD"/>
    <w:rsid w:val="00C414C3"/>
    <w:rsid w:val="00C439E3"/>
    <w:rsid w:val="00C8741C"/>
    <w:rsid w:val="00CB33DC"/>
    <w:rsid w:val="00CB3DFA"/>
    <w:rsid w:val="00CE18ED"/>
    <w:rsid w:val="00D03F53"/>
    <w:rsid w:val="00D22426"/>
    <w:rsid w:val="00DC4392"/>
    <w:rsid w:val="00E07618"/>
    <w:rsid w:val="00F05A26"/>
    <w:rsid w:val="00F9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929BC"/>
  <w15:docId w15:val="{468A1F6D-F649-4B99-9CE4-A467B521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mSun" w:eastAsia="SimSun" w:hAnsi="SimSun" w:cs="SimSun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2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4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1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3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03F5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03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03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C:\Users\Administrator\Desktop\uscars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C:\Users\Administrator\Desktop\uscars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3.xml"/><Relationship Id="rId2" Type="http://schemas.openxmlformats.org/officeDocument/2006/relationships/oleObject" Target="file:///C:\Users\Administrator\Desktop\uscars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\Desktop\uscars.xlsx" TargetMode="External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1099619024794584"/>
          <c:y val="0.15806871136972631"/>
          <c:w val="0.8537839845491012"/>
          <c:h val="0.600138511095204"/>
        </c:manualLayout>
      </c:layout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cat>
            <c:numRef>
              <c:f>'Q2'!$E$2:$E$24</c:f>
              <c:numCache>
                <c:formatCode>General</c:formatCode>
                <c:ptCount val="23"/>
                <c:pt idx="0">
                  <c:v>2.5000000000000001E-2</c:v>
                </c:pt>
                <c:pt idx="1">
                  <c:v>0.05</c:v>
                </c:pt>
                <c:pt idx="2">
                  <c:v>7.5000000000000011E-2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0.19999999999999998</c:v>
                </c:pt>
                <c:pt idx="8">
                  <c:v>0.22499999999999998</c:v>
                </c:pt>
                <c:pt idx="9">
                  <c:v>0.24999999999999997</c:v>
                </c:pt>
                <c:pt idx="10">
                  <c:v>0.27499999999999997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0.35000000000000003</c:v>
                </c:pt>
                <c:pt idx="14">
                  <c:v>0.37500000000000006</c:v>
                </c:pt>
                <c:pt idx="15">
                  <c:v>0.40000000000000008</c:v>
                </c:pt>
                <c:pt idx="16">
                  <c:v>0.4250000000000001</c:v>
                </c:pt>
                <c:pt idx="17">
                  <c:v>0.45000000000000012</c:v>
                </c:pt>
                <c:pt idx="18">
                  <c:v>0.47500000000000014</c:v>
                </c:pt>
                <c:pt idx="19">
                  <c:v>0.50000000000000011</c:v>
                </c:pt>
                <c:pt idx="20">
                  <c:v>0.52500000000000013</c:v>
                </c:pt>
                <c:pt idx="21">
                  <c:v>0.55000000000000016</c:v>
                </c:pt>
              </c:numCache>
            </c:numRef>
          </c:cat>
          <c:val>
            <c:numRef>
              <c:f>'Q2'!$F$2:$F$24</c:f>
              <c:numCache>
                <c:formatCode>General</c:formatCode>
                <c:ptCount val="23"/>
                <c:pt idx="0">
                  <c:v>19</c:v>
                </c:pt>
                <c:pt idx="1">
                  <c:v>67</c:v>
                </c:pt>
                <c:pt idx="2">
                  <c:v>77</c:v>
                </c:pt>
                <c:pt idx="3">
                  <c:v>62</c:v>
                </c:pt>
                <c:pt idx="4">
                  <c:v>36</c:v>
                </c:pt>
                <c:pt idx="5">
                  <c:v>13</c:v>
                </c:pt>
                <c:pt idx="6">
                  <c:v>9</c:v>
                </c:pt>
                <c:pt idx="7">
                  <c:v>7</c:v>
                </c:pt>
                <c:pt idx="8">
                  <c:v>5</c:v>
                </c:pt>
                <c:pt idx="9">
                  <c:v>5</c:v>
                </c:pt>
                <c:pt idx="10">
                  <c:v>2</c:v>
                </c:pt>
                <c:pt idx="11">
                  <c:v>7</c:v>
                </c:pt>
                <c:pt idx="12">
                  <c:v>0</c:v>
                </c:pt>
                <c:pt idx="13">
                  <c:v>3</c:v>
                </c:pt>
                <c:pt idx="14">
                  <c:v>3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A3-4680-81AA-EC0106D64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4042240"/>
        <c:axId val="144064896"/>
      </c:barChart>
      <c:catAx>
        <c:axId val="144042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4064896"/>
        <c:crosses val="autoZero"/>
        <c:auto val="1"/>
        <c:lblAlgn val="ctr"/>
        <c:lblOffset val="100"/>
        <c:tickLblSkip val="1"/>
        <c:noMultiLvlLbl val="0"/>
      </c:catAx>
      <c:valAx>
        <c:axId val="144064896"/>
        <c:scaling>
          <c:orientation val="minMax"/>
          <c:max val="8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Frequency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4042240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1062075635790697"/>
          <c:y val="3.4856282202745087E-2"/>
          <c:w val="0.85548490131155597"/>
          <c:h val="0.68090102739514202"/>
        </c:manualLayout>
      </c:layout>
      <c:barChart>
        <c:barDir val="col"/>
        <c:grouping val="clustered"/>
        <c:varyColors val="0"/>
        <c:ser>
          <c:idx val="1"/>
          <c:order val="1"/>
          <c:tx>
            <c:v>频率</c:v>
          </c:tx>
          <c:invertIfNegative val="0"/>
          <c:cat>
            <c:numRef>
              <c:f>'Q2'!$E$2:$E$25</c:f>
              <c:numCache>
                <c:formatCode>General</c:formatCode>
                <c:ptCount val="24"/>
                <c:pt idx="0">
                  <c:v>2.5000000000000001E-2</c:v>
                </c:pt>
                <c:pt idx="1">
                  <c:v>0.05</c:v>
                </c:pt>
                <c:pt idx="2">
                  <c:v>7.5000000000000011E-2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0.19999999999999998</c:v>
                </c:pt>
                <c:pt idx="8">
                  <c:v>0.22499999999999998</c:v>
                </c:pt>
                <c:pt idx="9">
                  <c:v>0.24999999999999997</c:v>
                </c:pt>
                <c:pt idx="10">
                  <c:v>0.27499999999999997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0.35000000000000003</c:v>
                </c:pt>
                <c:pt idx="14">
                  <c:v>0.37500000000000006</c:v>
                </c:pt>
                <c:pt idx="15">
                  <c:v>0.40000000000000008</c:v>
                </c:pt>
                <c:pt idx="16">
                  <c:v>0.4250000000000001</c:v>
                </c:pt>
                <c:pt idx="17">
                  <c:v>0.45000000000000012</c:v>
                </c:pt>
                <c:pt idx="18">
                  <c:v>0.47500000000000014</c:v>
                </c:pt>
                <c:pt idx="19">
                  <c:v>0.50000000000000011</c:v>
                </c:pt>
                <c:pt idx="20">
                  <c:v>0.52500000000000013</c:v>
                </c:pt>
                <c:pt idx="21">
                  <c:v>0.55000000000000016</c:v>
                </c:pt>
              </c:numCache>
            </c:numRef>
          </c:cat>
          <c:val>
            <c:numRef>
              <c:f>'Q2'!$F$2:$F$25</c:f>
              <c:numCache>
                <c:formatCode>General</c:formatCode>
                <c:ptCount val="24"/>
                <c:pt idx="0">
                  <c:v>19</c:v>
                </c:pt>
                <c:pt idx="1">
                  <c:v>67</c:v>
                </c:pt>
                <c:pt idx="2">
                  <c:v>77</c:v>
                </c:pt>
                <c:pt idx="3">
                  <c:v>62</c:v>
                </c:pt>
                <c:pt idx="4">
                  <c:v>36</c:v>
                </c:pt>
                <c:pt idx="5">
                  <c:v>13</c:v>
                </c:pt>
                <c:pt idx="6">
                  <c:v>9</c:v>
                </c:pt>
                <c:pt idx="7">
                  <c:v>7</c:v>
                </c:pt>
                <c:pt idx="8">
                  <c:v>5</c:v>
                </c:pt>
                <c:pt idx="9">
                  <c:v>5</c:v>
                </c:pt>
                <c:pt idx="10">
                  <c:v>2</c:v>
                </c:pt>
                <c:pt idx="11">
                  <c:v>7</c:v>
                </c:pt>
                <c:pt idx="12">
                  <c:v>0</c:v>
                </c:pt>
                <c:pt idx="13">
                  <c:v>3</c:v>
                </c:pt>
                <c:pt idx="14">
                  <c:v>3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3B-4979-B447-5501A8524F01}"/>
            </c:ext>
          </c:extLst>
        </c:ser>
        <c:ser>
          <c:idx val="0"/>
          <c:order val="0"/>
          <c:tx>
            <c:v>频率</c:v>
          </c:tx>
          <c:invertIfNegative val="0"/>
          <c:cat>
            <c:numRef>
              <c:f>'15Q2'!$E$2:$E$24</c:f>
              <c:numCache>
                <c:formatCode>General</c:formatCode>
                <c:ptCount val="23"/>
                <c:pt idx="0">
                  <c:v>2.5000000000000001E-2</c:v>
                </c:pt>
                <c:pt idx="1">
                  <c:v>0.05</c:v>
                </c:pt>
                <c:pt idx="2">
                  <c:v>7.5000000000000011E-2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0.19999999999999998</c:v>
                </c:pt>
                <c:pt idx="8">
                  <c:v>0.22499999999999998</c:v>
                </c:pt>
                <c:pt idx="9">
                  <c:v>0.24999999999999997</c:v>
                </c:pt>
                <c:pt idx="10">
                  <c:v>0.27499999999999997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0.35000000000000003</c:v>
                </c:pt>
                <c:pt idx="14">
                  <c:v>0.37500000000000006</c:v>
                </c:pt>
                <c:pt idx="15">
                  <c:v>0.40000000000000008</c:v>
                </c:pt>
                <c:pt idx="16">
                  <c:v>0.4250000000000001</c:v>
                </c:pt>
                <c:pt idx="17">
                  <c:v>0.45000000000000012</c:v>
                </c:pt>
                <c:pt idx="18">
                  <c:v>0.47500000000000014</c:v>
                </c:pt>
                <c:pt idx="19">
                  <c:v>0.50000000000000011</c:v>
                </c:pt>
                <c:pt idx="20">
                  <c:v>0.52500000000000013</c:v>
                </c:pt>
                <c:pt idx="21">
                  <c:v>0.55000000000000016</c:v>
                </c:pt>
              </c:numCache>
            </c:numRef>
          </c:cat>
          <c:val>
            <c:numRef>
              <c:f>'15Q2'!$F$2:$F$24</c:f>
              <c:numCache>
                <c:formatCode>General</c:formatCode>
                <c:ptCount val="23"/>
                <c:pt idx="0">
                  <c:v>12</c:v>
                </c:pt>
                <c:pt idx="1">
                  <c:v>64</c:v>
                </c:pt>
                <c:pt idx="2">
                  <c:v>76</c:v>
                </c:pt>
                <c:pt idx="3">
                  <c:v>62</c:v>
                </c:pt>
                <c:pt idx="4">
                  <c:v>45</c:v>
                </c:pt>
                <c:pt idx="5">
                  <c:v>14</c:v>
                </c:pt>
                <c:pt idx="6">
                  <c:v>8</c:v>
                </c:pt>
                <c:pt idx="7">
                  <c:v>10</c:v>
                </c:pt>
                <c:pt idx="8">
                  <c:v>5</c:v>
                </c:pt>
                <c:pt idx="9">
                  <c:v>3</c:v>
                </c:pt>
                <c:pt idx="10">
                  <c:v>4</c:v>
                </c:pt>
                <c:pt idx="11">
                  <c:v>2</c:v>
                </c:pt>
                <c:pt idx="12">
                  <c:v>6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3B-4979-B447-5501A8524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3869824"/>
        <c:axId val="144011264"/>
      </c:barChart>
      <c:catAx>
        <c:axId val="143869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1"/>
                </a:pPr>
                <a:r>
                  <a:rPr lang="en-US" altLang="zh-CN" b="1"/>
                  <a:t>Percentage</a:t>
                </a:r>
              </a:p>
            </c:rich>
          </c:tx>
          <c:layout>
            <c:manualLayout>
              <c:xMode val="edge"/>
              <c:yMode val="edge"/>
              <c:x val="0.48609605137300888"/>
              <c:y val="0.828317076037137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4011264"/>
        <c:crosses val="autoZero"/>
        <c:auto val="1"/>
        <c:lblAlgn val="ctr"/>
        <c:lblOffset val="100"/>
        <c:noMultiLvlLbl val="0"/>
      </c:catAx>
      <c:valAx>
        <c:axId val="144011264"/>
        <c:scaling>
          <c:orientation val="minMax"/>
          <c:max val="80"/>
        </c:scaling>
        <c:delete val="0"/>
        <c:axPos val="l"/>
        <c:title>
          <c:tx>
            <c:rich>
              <a:bodyPr/>
              <a:lstStyle/>
              <a:p>
                <a:pPr>
                  <a:defRPr b="0"/>
                </a:pPr>
                <a:r>
                  <a:rPr lang="en-US" altLang="zh-CN" b="0"/>
                  <a:t>Frequency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1.6317296275465566E-2"/>
              <c:y val="0.277307618558677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3869824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840858120385679"/>
          <c:y val="6.5460335976521455E-2"/>
          <c:w val="0.74998566871808736"/>
          <c:h val="0.6931081145720982"/>
        </c:manualLayout>
      </c:layout>
      <c:lineChart>
        <c:grouping val="standard"/>
        <c:varyColors val="0"/>
        <c:ser>
          <c:idx val="0"/>
          <c:order val="1"/>
          <c:tx>
            <c:v>累积 %</c:v>
          </c:tx>
          <c:cat>
            <c:numRef>
              <c:f>'Q3'!$E$2:$E$24</c:f>
              <c:numCache>
                <c:formatCode>General</c:formatCode>
                <c:ptCount val="23"/>
                <c:pt idx="0">
                  <c:v>2.5000000000000001E-2</c:v>
                </c:pt>
                <c:pt idx="1">
                  <c:v>0.05</c:v>
                </c:pt>
                <c:pt idx="2">
                  <c:v>7.5000000000000011E-2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0.19999999999999998</c:v>
                </c:pt>
                <c:pt idx="8">
                  <c:v>0.22499999999999998</c:v>
                </c:pt>
                <c:pt idx="9">
                  <c:v>0.24999999999999997</c:v>
                </c:pt>
                <c:pt idx="10">
                  <c:v>0.27499999999999997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0.35000000000000003</c:v>
                </c:pt>
                <c:pt idx="14">
                  <c:v>0.37500000000000006</c:v>
                </c:pt>
                <c:pt idx="15">
                  <c:v>0.40000000000000008</c:v>
                </c:pt>
                <c:pt idx="16">
                  <c:v>0.4250000000000001</c:v>
                </c:pt>
                <c:pt idx="17">
                  <c:v>0.45000000000000012</c:v>
                </c:pt>
                <c:pt idx="18">
                  <c:v>0.47500000000000014</c:v>
                </c:pt>
                <c:pt idx="19">
                  <c:v>0.50000000000000011</c:v>
                </c:pt>
                <c:pt idx="20">
                  <c:v>0.52500000000000013</c:v>
                </c:pt>
                <c:pt idx="21">
                  <c:v>0.55000000000000016</c:v>
                </c:pt>
              </c:numCache>
            </c:numRef>
          </c:cat>
          <c:val>
            <c:numRef>
              <c:f>'Q3'!$G$2:$G$24</c:f>
              <c:numCache>
                <c:formatCode>0.00%</c:formatCode>
                <c:ptCount val="23"/>
                <c:pt idx="0">
                  <c:v>5.993690851735016E-2</c:v>
                </c:pt>
                <c:pt idx="1">
                  <c:v>0.27129337539432175</c:v>
                </c:pt>
                <c:pt idx="2">
                  <c:v>0.51419558359621453</c:v>
                </c:pt>
                <c:pt idx="3">
                  <c:v>0.70977917981072558</c:v>
                </c:pt>
                <c:pt idx="4">
                  <c:v>0.82334384858044163</c:v>
                </c:pt>
                <c:pt idx="5">
                  <c:v>0.86435331230283907</c:v>
                </c:pt>
                <c:pt idx="6">
                  <c:v>0.89274447949526814</c:v>
                </c:pt>
                <c:pt idx="7">
                  <c:v>0.91482649842271291</c:v>
                </c:pt>
                <c:pt idx="8">
                  <c:v>0.93059936908517349</c:v>
                </c:pt>
                <c:pt idx="9">
                  <c:v>0.94637223974763407</c:v>
                </c:pt>
                <c:pt idx="10">
                  <c:v>0.95268138801261826</c:v>
                </c:pt>
                <c:pt idx="11">
                  <c:v>0.97476340694006314</c:v>
                </c:pt>
                <c:pt idx="12">
                  <c:v>0.97476340694006314</c:v>
                </c:pt>
                <c:pt idx="13">
                  <c:v>0.98422712933753942</c:v>
                </c:pt>
                <c:pt idx="14">
                  <c:v>0.99369085173501581</c:v>
                </c:pt>
                <c:pt idx="15">
                  <c:v>0.99369085173501581</c:v>
                </c:pt>
                <c:pt idx="16">
                  <c:v>0.99684542586750791</c:v>
                </c:pt>
                <c:pt idx="17">
                  <c:v>0.99684542586750791</c:v>
                </c:pt>
                <c:pt idx="18">
                  <c:v>0.99684542586750791</c:v>
                </c:pt>
                <c:pt idx="19">
                  <c:v>0.99684542586750791</c:v>
                </c:pt>
                <c:pt idx="20">
                  <c:v>0.99684542586750791</c:v>
                </c:pt>
                <c:pt idx="2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F5-4699-BC5C-BAE69505B559}"/>
            </c:ext>
          </c:extLst>
        </c:ser>
        <c:ser>
          <c:idx val="1"/>
          <c:order val="0"/>
          <c:tx>
            <c:v>累积 %</c:v>
          </c:tx>
          <c:cat>
            <c:numRef>
              <c:f>'15Q3'!$E$3:$E$25</c:f>
              <c:numCache>
                <c:formatCode>General</c:formatCode>
                <c:ptCount val="23"/>
                <c:pt idx="0">
                  <c:v>2.5000000000000001E-2</c:v>
                </c:pt>
                <c:pt idx="1">
                  <c:v>0.05</c:v>
                </c:pt>
                <c:pt idx="2">
                  <c:v>7.5000000000000011E-2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0.19999999999999998</c:v>
                </c:pt>
                <c:pt idx="8">
                  <c:v>0.22499999999999998</c:v>
                </c:pt>
                <c:pt idx="9">
                  <c:v>0.24999999999999997</c:v>
                </c:pt>
                <c:pt idx="10">
                  <c:v>0.27499999999999997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0.35000000000000003</c:v>
                </c:pt>
                <c:pt idx="14">
                  <c:v>0.37500000000000006</c:v>
                </c:pt>
                <c:pt idx="15">
                  <c:v>0.40000000000000008</c:v>
                </c:pt>
                <c:pt idx="16">
                  <c:v>0.4250000000000001</c:v>
                </c:pt>
                <c:pt idx="17">
                  <c:v>0.45000000000000012</c:v>
                </c:pt>
                <c:pt idx="18">
                  <c:v>0.47500000000000014</c:v>
                </c:pt>
                <c:pt idx="19">
                  <c:v>0.50000000000000011</c:v>
                </c:pt>
                <c:pt idx="20">
                  <c:v>0.52500000000000013</c:v>
                </c:pt>
                <c:pt idx="21">
                  <c:v>0.55000000000000016</c:v>
                </c:pt>
              </c:numCache>
            </c:numRef>
          </c:cat>
          <c:val>
            <c:numRef>
              <c:f>'15Q3'!$G$3:$G$25</c:f>
              <c:numCache>
                <c:formatCode>0.00%</c:formatCode>
                <c:ptCount val="23"/>
                <c:pt idx="0">
                  <c:v>3.7854889589905363E-2</c:v>
                </c:pt>
                <c:pt idx="1">
                  <c:v>0.23974763406940064</c:v>
                </c:pt>
                <c:pt idx="2">
                  <c:v>0.47949526813880128</c:v>
                </c:pt>
                <c:pt idx="3">
                  <c:v>0.67507886435331232</c:v>
                </c:pt>
                <c:pt idx="4">
                  <c:v>0.81703470031545744</c:v>
                </c:pt>
                <c:pt idx="5">
                  <c:v>0.86119873817034698</c:v>
                </c:pt>
                <c:pt idx="6">
                  <c:v>0.88643533123028395</c:v>
                </c:pt>
                <c:pt idx="7">
                  <c:v>0.917981072555205</c:v>
                </c:pt>
                <c:pt idx="8">
                  <c:v>0.93375394321766558</c:v>
                </c:pt>
                <c:pt idx="9">
                  <c:v>0.94321766561514198</c:v>
                </c:pt>
                <c:pt idx="10">
                  <c:v>0.95583596214511046</c:v>
                </c:pt>
                <c:pt idx="11">
                  <c:v>0.96214511041009465</c:v>
                </c:pt>
                <c:pt idx="12">
                  <c:v>0.98107255520504733</c:v>
                </c:pt>
                <c:pt idx="13">
                  <c:v>0.98422712933753942</c:v>
                </c:pt>
                <c:pt idx="14">
                  <c:v>0.99053627760252361</c:v>
                </c:pt>
                <c:pt idx="15">
                  <c:v>0.99369085173501581</c:v>
                </c:pt>
                <c:pt idx="16">
                  <c:v>0.99684542586750791</c:v>
                </c:pt>
                <c:pt idx="17">
                  <c:v>0.99684542586750791</c:v>
                </c:pt>
                <c:pt idx="18">
                  <c:v>0.99684542586750791</c:v>
                </c:pt>
                <c:pt idx="19">
                  <c:v>0.99684542586750791</c:v>
                </c:pt>
                <c:pt idx="20">
                  <c:v>0.99684542586750791</c:v>
                </c:pt>
                <c:pt idx="2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F5-4699-BC5C-BAE69505B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622336"/>
        <c:axId val="144624256"/>
      </c:lineChart>
      <c:catAx>
        <c:axId val="144622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4624256"/>
        <c:crosses val="autoZero"/>
        <c:auto val="1"/>
        <c:lblAlgn val="ctr"/>
        <c:lblOffset val="100"/>
        <c:noMultiLvlLbl val="0"/>
      </c:catAx>
      <c:valAx>
        <c:axId val="144624256"/>
        <c:scaling>
          <c:orientation val="minMax"/>
          <c:max val="1"/>
        </c:scaling>
        <c:delete val="0"/>
        <c:axPos val="l"/>
        <c:title>
          <c:tx>
            <c:rich>
              <a:bodyPr/>
              <a:lstStyle/>
              <a:p>
                <a:pPr>
                  <a:defRPr b="0"/>
                </a:pPr>
                <a:r>
                  <a:rPr lang="en-US" altLang="zh-CN" b="0"/>
                  <a:t>Cumulative  </a:t>
                </a:r>
                <a:r>
                  <a:rPr lang="en-US" altLang="en-US" b="0"/>
                  <a:t>Frequency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44622336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1"/>
          <c:order val="1"/>
          <c:tx>
            <c:strRef>
              <c:f>'Q7'!$R$1</c:f>
              <c:strCache>
                <c:ptCount val="1"/>
                <c:pt idx="0">
                  <c:v>2016 Vehicles per Household</c:v>
                </c:pt>
              </c:strCache>
            </c:strRef>
          </c:tx>
          <c:spPr>
            <a:ln w="19050">
              <a:noFill/>
            </a:ln>
          </c:spPr>
          <c:xVal>
            <c:strRef>
              <c:f>'Q7'!$Q$2:$Q$47</c:f>
              <c:strCache>
                <c:ptCount val="46"/>
                <c:pt idx="0">
                  <c:v> Alabama 平均值</c:v>
                </c:pt>
                <c:pt idx="1">
                  <c:v> Alaska 平均值</c:v>
                </c:pt>
                <c:pt idx="2">
                  <c:v> Arizona 平均值</c:v>
                </c:pt>
                <c:pt idx="3">
                  <c:v> Arkansas 平均值</c:v>
                </c:pt>
                <c:pt idx="4">
                  <c:v> California 平均值</c:v>
                </c:pt>
                <c:pt idx="5">
                  <c:v> Colorado 平均值</c:v>
                </c:pt>
                <c:pt idx="6">
                  <c:v> Connecticut 平均值</c:v>
                </c:pt>
                <c:pt idx="7">
                  <c:v> District of Columbia 平均值</c:v>
                </c:pt>
                <c:pt idx="8">
                  <c:v> Florida 平均值</c:v>
                </c:pt>
                <c:pt idx="9">
                  <c:v> Georgia 平均值</c:v>
                </c:pt>
                <c:pt idx="10">
                  <c:v> Hawaii 平均值</c:v>
                </c:pt>
                <c:pt idx="11">
                  <c:v> Idaho 平均值</c:v>
                </c:pt>
                <c:pt idx="12">
                  <c:v> Illinois 平均值</c:v>
                </c:pt>
                <c:pt idx="13">
                  <c:v> Indiana 平均值</c:v>
                </c:pt>
                <c:pt idx="14">
                  <c:v> Iowa 平均值</c:v>
                </c:pt>
                <c:pt idx="15">
                  <c:v> Kansas 平均值</c:v>
                </c:pt>
                <c:pt idx="16">
                  <c:v> Kentucky 平均值</c:v>
                </c:pt>
                <c:pt idx="17">
                  <c:v> Louisiana 平均值</c:v>
                </c:pt>
                <c:pt idx="18">
                  <c:v> Maryland 平均值</c:v>
                </c:pt>
                <c:pt idx="19">
                  <c:v> Massachusetts 平均值</c:v>
                </c:pt>
                <c:pt idx="20">
                  <c:v> Michigan 平均值</c:v>
                </c:pt>
                <c:pt idx="21">
                  <c:v> Minnesota 平均值</c:v>
                </c:pt>
                <c:pt idx="22">
                  <c:v> Mississippi 平均值</c:v>
                </c:pt>
                <c:pt idx="23">
                  <c:v> Missouri 平均值</c:v>
                </c:pt>
                <c:pt idx="24">
                  <c:v> Montana 平均值</c:v>
                </c:pt>
                <c:pt idx="25">
                  <c:v> Nebraska 平均值</c:v>
                </c:pt>
                <c:pt idx="26">
                  <c:v> Nevada 平均值</c:v>
                </c:pt>
                <c:pt idx="27">
                  <c:v> New Hampshire 平均值</c:v>
                </c:pt>
                <c:pt idx="28">
                  <c:v> New Jersey 平均值</c:v>
                </c:pt>
                <c:pt idx="29">
                  <c:v> New Mexico 平均值</c:v>
                </c:pt>
                <c:pt idx="30">
                  <c:v> New York 平均值</c:v>
                </c:pt>
                <c:pt idx="31">
                  <c:v> North Carolina 平均值</c:v>
                </c:pt>
                <c:pt idx="32">
                  <c:v> North Dakota 平均值</c:v>
                </c:pt>
                <c:pt idx="33">
                  <c:v> Ohio 平均值</c:v>
                </c:pt>
                <c:pt idx="34">
                  <c:v> Oklahoma 平均值</c:v>
                </c:pt>
                <c:pt idx="35">
                  <c:v> Oregon 平均值</c:v>
                </c:pt>
                <c:pt idx="36">
                  <c:v> Pennsylvania 平均值</c:v>
                </c:pt>
                <c:pt idx="37">
                  <c:v> Rhode Island 平均值</c:v>
                </c:pt>
                <c:pt idx="38">
                  <c:v> South Carolina 平均值</c:v>
                </c:pt>
                <c:pt idx="39">
                  <c:v> South Dakota 平均值</c:v>
                </c:pt>
                <c:pt idx="40">
                  <c:v> Tennessee 平均值</c:v>
                </c:pt>
                <c:pt idx="41">
                  <c:v> Texas 平均值</c:v>
                </c:pt>
                <c:pt idx="42">
                  <c:v> Utah 平均值</c:v>
                </c:pt>
                <c:pt idx="43">
                  <c:v> Virginia 平均值</c:v>
                </c:pt>
                <c:pt idx="44">
                  <c:v> Washington 平均值</c:v>
                </c:pt>
                <c:pt idx="45">
                  <c:v> Wisconsin 平均值</c:v>
                </c:pt>
              </c:strCache>
            </c:strRef>
          </c:xVal>
          <c:yVal>
            <c:numRef>
              <c:f>'Q7'!$R$2:$R$47</c:f>
              <c:numCache>
                <c:formatCode>General</c:formatCode>
                <c:ptCount val="46"/>
                <c:pt idx="0">
                  <c:v>1.6125</c:v>
                </c:pt>
                <c:pt idx="1">
                  <c:v>1.95</c:v>
                </c:pt>
                <c:pt idx="2">
                  <c:v>1.7809999999999999</c:v>
                </c:pt>
                <c:pt idx="3">
                  <c:v>1.58</c:v>
                </c:pt>
                <c:pt idx="4">
                  <c:v>1.9606666666666663</c:v>
                </c:pt>
                <c:pt idx="5">
                  <c:v>1.8953846153846152</c:v>
                </c:pt>
                <c:pt idx="6">
                  <c:v>1.2920000000000003</c:v>
                </c:pt>
                <c:pt idx="7">
                  <c:v>0.86</c:v>
                </c:pt>
                <c:pt idx="8">
                  <c:v>1.6296000000000002</c:v>
                </c:pt>
                <c:pt idx="9">
                  <c:v>1.56</c:v>
                </c:pt>
                <c:pt idx="10">
                  <c:v>1.4</c:v>
                </c:pt>
                <c:pt idx="11">
                  <c:v>1.7</c:v>
                </c:pt>
                <c:pt idx="12">
                  <c:v>1.6574999999999998</c:v>
                </c:pt>
                <c:pt idx="13">
                  <c:v>1.5574999999999999</c:v>
                </c:pt>
                <c:pt idx="14">
                  <c:v>1.7066666666666668</c:v>
                </c:pt>
                <c:pt idx="15">
                  <c:v>1.78</c:v>
                </c:pt>
                <c:pt idx="16">
                  <c:v>1.655</c:v>
                </c:pt>
                <c:pt idx="17">
                  <c:v>1.502</c:v>
                </c:pt>
                <c:pt idx="18">
                  <c:v>1.4450000000000001</c:v>
                </c:pt>
                <c:pt idx="19">
                  <c:v>1.1759999999999999</c:v>
                </c:pt>
                <c:pt idx="20">
                  <c:v>1.5366666666666668</c:v>
                </c:pt>
                <c:pt idx="21">
                  <c:v>1.5166666666666668</c:v>
                </c:pt>
                <c:pt idx="22">
                  <c:v>1.68</c:v>
                </c:pt>
                <c:pt idx="23">
                  <c:v>1.5579999999999998</c:v>
                </c:pt>
                <c:pt idx="24">
                  <c:v>1.91</c:v>
                </c:pt>
                <c:pt idx="25">
                  <c:v>1.72</c:v>
                </c:pt>
                <c:pt idx="26">
                  <c:v>1.7025000000000001</c:v>
                </c:pt>
                <c:pt idx="27">
                  <c:v>1.56</c:v>
                </c:pt>
                <c:pt idx="28">
                  <c:v>0.97750000000000004</c:v>
                </c:pt>
                <c:pt idx="29">
                  <c:v>1.74</c:v>
                </c:pt>
                <c:pt idx="30">
                  <c:v>1.036</c:v>
                </c:pt>
                <c:pt idx="31">
                  <c:v>1.68</c:v>
                </c:pt>
                <c:pt idx="32">
                  <c:v>1.67</c:v>
                </c:pt>
                <c:pt idx="33">
                  <c:v>1.3866666666666667</c:v>
                </c:pt>
                <c:pt idx="34">
                  <c:v>1.8275000000000001</c:v>
                </c:pt>
                <c:pt idx="35">
                  <c:v>1.714</c:v>
                </c:pt>
                <c:pt idx="36">
                  <c:v>1.18</c:v>
                </c:pt>
                <c:pt idx="37">
                  <c:v>1.27</c:v>
                </c:pt>
                <c:pt idx="38">
                  <c:v>1.5200000000000002</c:v>
                </c:pt>
                <c:pt idx="39">
                  <c:v>1.82</c:v>
                </c:pt>
                <c:pt idx="40">
                  <c:v>1.6866666666666665</c:v>
                </c:pt>
                <c:pt idx="41">
                  <c:v>1.8217948717948718</c:v>
                </c:pt>
                <c:pt idx="42">
                  <c:v>2.0474999999999999</c:v>
                </c:pt>
                <c:pt idx="43">
                  <c:v>1.6312499999999999</c:v>
                </c:pt>
                <c:pt idx="44">
                  <c:v>1.71</c:v>
                </c:pt>
                <c:pt idx="45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BFF-4A1A-BBAD-02039E0AA013}"/>
            </c:ext>
          </c:extLst>
        </c:ser>
        <c:ser>
          <c:idx val="0"/>
          <c:order val="0"/>
          <c:tx>
            <c:strRef>
              <c:f>'Q7'!$B$1</c:f>
              <c:strCache>
                <c:ptCount val="1"/>
                <c:pt idx="0">
                  <c:v>2015 Vehicles per Household</c:v>
                </c:pt>
              </c:strCache>
            </c:strRef>
          </c:tx>
          <c:spPr>
            <a:ln w="19050">
              <a:noFill/>
            </a:ln>
          </c:spPr>
          <c:xVal>
            <c:strRef>
              <c:f>'Q7'!$A$2:$A$287</c:f>
              <c:strCache>
                <c:ptCount val="47"/>
                <c:pt idx="0">
                  <c:v> Alabama 平均值</c:v>
                </c:pt>
                <c:pt idx="1">
                  <c:v> Alaska 平均值</c:v>
                </c:pt>
                <c:pt idx="2">
                  <c:v> Arizona 平均值</c:v>
                </c:pt>
                <c:pt idx="3">
                  <c:v> Arkansas 平均值</c:v>
                </c:pt>
                <c:pt idx="4">
                  <c:v> California 平均值</c:v>
                </c:pt>
                <c:pt idx="5">
                  <c:v> Colorado 平均值</c:v>
                </c:pt>
                <c:pt idx="6">
                  <c:v> Connecticut 平均值</c:v>
                </c:pt>
                <c:pt idx="7">
                  <c:v> District of Columbia 平均值</c:v>
                </c:pt>
                <c:pt idx="8">
                  <c:v> Florida 平均值</c:v>
                </c:pt>
                <c:pt idx="9">
                  <c:v> Georgia 平均值</c:v>
                </c:pt>
                <c:pt idx="10">
                  <c:v> Hawaii 平均值</c:v>
                </c:pt>
                <c:pt idx="11">
                  <c:v> Idaho 平均值</c:v>
                </c:pt>
                <c:pt idx="12">
                  <c:v> Illinois 平均值</c:v>
                </c:pt>
                <c:pt idx="13">
                  <c:v> Indiana 平均值</c:v>
                </c:pt>
                <c:pt idx="14">
                  <c:v> Iowa 平均值</c:v>
                </c:pt>
                <c:pt idx="15">
                  <c:v> Kansas 平均值</c:v>
                </c:pt>
                <c:pt idx="16">
                  <c:v> Kentucky 平均值</c:v>
                </c:pt>
                <c:pt idx="17">
                  <c:v> Louisiana 平均值</c:v>
                </c:pt>
                <c:pt idx="18">
                  <c:v> Maryland 平均值</c:v>
                </c:pt>
                <c:pt idx="19">
                  <c:v> Massachusetts 平均值</c:v>
                </c:pt>
                <c:pt idx="20">
                  <c:v> Michigan 平均值</c:v>
                </c:pt>
                <c:pt idx="21">
                  <c:v> Minnesota 平均值</c:v>
                </c:pt>
                <c:pt idx="22">
                  <c:v> Mississippi 平均值</c:v>
                </c:pt>
                <c:pt idx="23">
                  <c:v> Missouri 平均值</c:v>
                </c:pt>
                <c:pt idx="24">
                  <c:v> Montana 平均值</c:v>
                </c:pt>
                <c:pt idx="25">
                  <c:v> Nebraska 平均值</c:v>
                </c:pt>
                <c:pt idx="26">
                  <c:v> Nevada 平均值</c:v>
                </c:pt>
                <c:pt idx="27">
                  <c:v> New Hampshire 平均值</c:v>
                </c:pt>
                <c:pt idx="28">
                  <c:v> New Jersey 平均值</c:v>
                </c:pt>
                <c:pt idx="29">
                  <c:v> New Mexico 平均值</c:v>
                </c:pt>
                <c:pt idx="30">
                  <c:v> New York 平均值</c:v>
                </c:pt>
                <c:pt idx="31">
                  <c:v> North Carolina 平均值</c:v>
                </c:pt>
                <c:pt idx="32">
                  <c:v> North Dakota 平均值</c:v>
                </c:pt>
                <c:pt idx="33">
                  <c:v> Ohio 平均值</c:v>
                </c:pt>
                <c:pt idx="34">
                  <c:v> Oklahoma 平均值</c:v>
                </c:pt>
                <c:pt idx="35">
                  <c:v> Oregon 平均值</c:v>
                </c:pt>
                <c:pt idx="36">
                  <c:v> Pennsylvania 平均值</c:v>
                </c:pt>
                <c:pt idx="37">
                  <c:v> Rhode Island 平均值</c:v>
                </c:pt>
                <c:pt idx="38">
                  <c:v> South Carolina 平均值</c:v>
                </c:pt>
                <c:pt idx="39">
                  <c:v> South Dakota 平均值</c:v>
                </c:pt>
                <c:pt idx="40">
                  <c:v> Tennessee 平均值</c:v>
                </c:pt>
                <c:pt idx="41">
                  <c:v> Texas 平均值</c:v>
                </c:pt>
                <c:pt idx="42">
                  <c:v> Utah 平均值</c:v>
                </c:pt>
                <c:pt idx="43">
                  <c:v> Virginia 平均值</c:v>
                </c:pt>
                <c:pt idx="44">
                  <c:v> Washington 平均值</c:v>
                </c:pt>
                <c:pt idx="45">
                  <c:v> Wisconsin 平均值</c:v>
                </c:pt>
                <c:pt idx="46">
                  <c:v>总计平均值</c:v>
                </c:pt>
              </c:strCache>
            </c:strRef>
          </c:xVal>
          <c:yVal>
            <c:numRef>
              <c:f>'Q7'!$B$2:$B$287</c:f>
              <c:numCache>
                <c:formatCode>General</c:formatCode>
                <c:ptCount val="286"/>
                <c:pt idx="0">
                  <c:v>1.5924999999999998</c:v>
                </c:pt>
                <c:pt idx="1">
                  <c:v>1.84</c:v>
                </c:pt>
                <c:pt idx="2">
                  <c:v>1.73</c:v>
                </c:pt>
                <c:pt idx="3">
                  <c:v>1.59</c:v>
                </c:pt>
                <c:pt idx="4">
                  <c:v>1.9214666666666664</c:v>
                </c:pt>
                <c:pt idx="5">
                  <c:v>1.8761538461538465</c:v>
                </c:pt>
                <c:pt idx="6">
                  <c:v>1.282</c:v>
                </c:pt>
                <c:pt idx="7">
                  <c:v>0.89</c:v>
                </c:pt>
                <c:pt idx="8">
                  <c:v>1.6115999999999999</c:v>
                </c:pt>
                <c:pt idx="9">
                  <c:v>1.514285714285714</c:v>
                </c:pt>
                <c:pt idx="10">
                  <c:v>1.4</c:v>
                </c:pt>
                <c:pt idx="11">
                  <c:v>1.81</c:v>
                </c:pt>
                <c:pt idx="12">
                  <c:v>1.645</c:v>
                </c:pt>
                <c:pt idx="13">
                  <c:v>1.5425</c:v>
                </c:pt>
                <c:pt idx="14">
                  <c:v>1.7066666666666668</c:v>
                </c:pt>
                <c:pt idx="15">
                  <c:v>1.7880000000000003</c:v>
                </c:pt>
                <c:pt idx="16">
                  <c:v>1.62</c:v>
                </c:pt>
                <c:pt idx="17">
                  <c:v>1.5100000000000002</c:v>
                </c:pt>
                <c:pt idx="18">
                  <c:v>1.4</c:v>
                </c:pt>
                <c:pt idx="19">
                  <c:v>1.1599999999999999</c:v>
                </c:pt>
                <c:pt idx="20">
                  <c:v>1.5</c:v>
                </c:pt>
                <c:pt idx="21">
                  <c:v>1.5099999999999998</c:v>
                </c:pt>
                <c:pt idx="22">
                  <c:v>1.6</c:v>
                </c:pt>
                <c:pt idx="23">
                  <c:v>1.544</c:v>
                </c:pt>
                <c:pt idx="24">
                  <c:v>2.0499999999999998</c:v>
                </c:pt>
                <c:pt idx="25">
                  <c:v>1.71</c:v>
                </c:pt>
                <c:pt idx="26">
                  <c:v>1.67625</c:v>
                </c:pt>
                <c:pt idx="27">
                  <c:v>1.6</c:v>
                </c:pt>
                <c:pt idx="28">
                  <c:v>0.95</c:v>
                </c:pt>
                <c:pt idx="29">
                  <c:v>1.72</c:v>
                </c:pt>
                <c:pt idx="30">
                  <c:v>1.022</c:v>
                </c:pt>
                <c:pt idx="31">
                  <c:v>1.671111111111111</c:v>
                </c:pt>
                <c:pt idx="32">
                  <c:v>1.66</c:v>
                </c:pt>
                <c:pt idx="33">
                  <c:v>1.3583333333333334</c:v>
                </c:pt>
                <c:pt idx="34">
                  <c:v>1.8174999999999999</c:v>
                </c:pt>
                <c:pt idx="35">
                  <c:v>1.6219999999999999</c:v>
                </c:pt>
                <c:pt idx="36">
                  <c:v>1.1733333333333331</c:v>
                </c:pt>
                <c:pt idx="37">
                  <c:v>1.21</c:v>
                </c:pt>
                <c:pt idx="38">
                  <c:v>1.5433333333333332</c:v>
                </c:pt>
                <c:pt idx="39">
                  <c:v>1.79</c:v>
                </c:pt>
                <c:pt idx="40">
                  <c:v>1.6416666666666666</c:v>
                </c:pt>
                <c:pt idx="41">
                  <c:v>1.8007692307692305</c:v>
                </c:pt>
                <c:pt idx="42">
                  <c:v>2.0024999999999999</c:v>
                </c:pt>
                <c:pt idx="43">
                  <c:v>1.6325000000000001</c:v>
                </c:pt>
                <c:pt idx="44">
                  <c:v>1.70625</c:v>
                </c:pt>
                <c:pt idx="45">
                  <c:v>1.4733333333333334</c:v>
                </c:pt>
                <c:pt idx="46">
                  <c:v>1.5742402877315917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BFF-4A1A-BBAD-02039E0AA0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792960"/>
        <c:axId val="144819328"/>
      </c:scatterChart>
      <c:valAx>
        <c:axId val="144792960"/>
        <c:scaling>
          <c:orientation val="minMax"/>
        </c:scaling>
        <c:delete val="0"/>
        <c:axPos val="b"/>
        <c:majorTickMark val="out"/>
        <c:minorTickMark val="none"/>
        <c:tickLblPos val="nextTo"/>
        <c:crossAx val="144819328"/>
        <c:crosses val="autoZero"/>
        <c:crossBetween val="midCat"/>
      </c:valAx>
      <c:valAx>
        <c:axId val="144819328"/>
        <c:scaling>
          <c:orientation val="minMax"/>
          <c:min val="0.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47929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0.39376</cdr:x>
      <cdr:y>0.8898</cdr:y>
    </cdr:from>
    <cdr:to>
      <cdr:x>0.6484</cdr:x>
      <cdr:y>1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1988061" y="2323003"/>
          <a:ext cx="1285648" cy="2876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percentage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0.57771</cdr:x>
      <cdr:y>0.01918</cdr:y>
    </cdr:from>
    <cdr:to>
      <cdr:x>0.93091</cdr:x>
      <cdr:y>0.76956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3047015" y="51366"/>
          <a:ext cx="1862916" cy="200934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altLang="zh-CN" sz="1800">
              <a:solidFill>
                <a:schemeClr val="accent1"/>
              </a:solidFill>
            </a:rPr>
            <a:t>blue: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distribution of2015 percentage of households without vehicless</a:t>
          </a:r>
        </a:p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endParaRPr lang="en-US" altLang="zh-CN" sz="2400">
            <a:solidFill>
              <a:sysClr val="windowText" lastClr="000000"/>
            </a:solidFill>
          </a:endParaRPr>
        </a:p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altLang="zh-CN" sz="1800">
              <a:solidFill>
                <a:schemeClr val="accent2"/>
              </a:solidFill>
            </a:rPr>
            <a:t>red:</a:t>
          </a:r>
          <a:r>
            <a:rPr lang="en-US" altLang="zh-CN" sz="1100">
              <a:effectLst/>
              <a:latin typeface="+mn-lt"/>
              <a:ea typeface="+mn-ea"/>
              <a:cs typeface="+mn-cs"/>
            </a:rPr>
            <a:t>distribution of 2016 percentage of households without vehicless</a:t>
          </a:r>
          <a:endParaRPr lang="zh-CN" altLang="zh-CN" sz="1100">
            <a:effectLst/>
            <a:latin typeface="+mn-lt"/>
            <a:ea typeface="+mn-ea"/>
            <a:cs typeface="+mn-cs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0.34385</cdr:x>
      <cdr:y>0.87083</cdr:y>
    </cdr:from>
    <cdr:to>
      <cdr:x>0.63571</cdr:x>
      <cdr:y>0.95515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1679508" y="2821830"/>
          <a:ext cx="1425567" cy="2732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Percentage</a:t>
          </a:r>
        </a:p>
      </cdr:txBody>
    </cdr:sp>
  </cdr:relSizeAnchor>
  <cdr:relSizeAnchor xmlns:cdr="http://schemas.openxmlformats.org/drawingml/2006/chartDrawing">
    <cdr:from>
      <cdr:x>0.49398</cdr:x>
      <cdr:y>0.225</cdr:y>
    </cdr:from>
    <cdr:to>
      <cdr:x>0.9432</cdr:x>
      <cdr:y>0.6375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2572872" y="865503"/>
          <a:ext cx="2339788" cy="158675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0.487</cdr:x>
      <cdr:y>0.14514</cdr:y>
    </cdr:from>
    <cdr:to>
      <cdr:x>0.93944</cdr:x>
      <cdr:y>0.7883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2536415" y="558229"/>
          <a:ext cx="2356428" cy="24737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altLang="zh-CN" sz="1800">
              <a:solidFill>
                <a:schemeClr val="accent2"/>
              </a:solidFill>
            </a:rPr>
            <a:t>red:</a:t>
          </a:r>
          <a:r>
            <a:rPr lang="en-US" altLang="zh-CN" sz="1100" b="0" i="0">
              <a:effectLst/>
              <a:latin typeface="+mn-lt"/>
              <a:ea typeface="+mn-ea"/>
              <a:cs typeface="+mn-cs"/>
            </a:rPr>
            <a:t> </a:t>
          </a:r>
          <a:r>
            <a:rPr lang="en-US" altLang="zh-CN" sz="1200" b="0" i="0">
              <a:effectLst/>
              <a:latin typeface="+mn-lt"/>
              <a:ea typeface="+mn-ea"/>
              <a:cs typeface="+mn-cs"/>
            </a:rPr>
            <a:t>cumulative frequency </a:t>
          </a:r>
          <a:r>
            <a:rPr lang="en-US" altLang="zh-CN" sz="1200">
              <a:effectLst/>
              <a:latin typeface="+mn-lt"/>
              <a:ea typeface="+mn-ea"/>
              <a:cs typeface="+mn-cs"/>
            </a:rPr>
            <a:t>of 2015 percentage of households without vehicless</a:t>
          </a:r>
          <a:endParaRPr lang="zh-CN" altLang="zh-CN" sz="1200">
            <a:effectLst/>
            <a:latin typeface="+mn-lt"/>
            <a:ea typeface="+mn-ea"/>
            <a:cs typeface="+mn-cs"/>
          </a:endParaRPr>
        </a:p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endParaRPr lang="en-US" altLang="zh-CN" sz="2000">
            <a:solidFill>
              <a:schemeClr val="accent1"/>
            </a:solidFill>
          </a:endParaRPr>
        </a:p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altLang="zh-CN" sz="1600">
              <a:solidFill>
                <a:schemeClr val="accent5"/>
              </a:solidFill>
            </a:rPr>
            <a:t>blue:</a:t>
          </a:r>
          <a:r>
            <a:rPr lang="en-US" altLang="zh-CN" sz="1800">
              <a:solidFill>
                <a:schemeClr val="accent5"/>
              </a:solidFill>
            </a:rPr>
            <a:t> </a:t>
          </a:r>
          <a:r>
            <a:rPr lang="en-US" altLang="zh-CN" sz="1200" b="0" i="0">
              <a:effectLst/>
              <a:latin typeface="+mn-lt"/>
              <a:ea typeface="+mn-ea"/>
              <a:cs typeface="+mn-cs"/>
            </a:rPr>
            <a:t>cumulative frequency </a:t>
          </a:r>
          <a:r>
            <a:rPr lang="en-US" altLang="zh-CN" sz="1200">
              <a:effectLst/>
              <a:latin typeface="+mn-lt"/>
              <a:ea typeface="+mn-ea"/>
              <a:cs typeface="+mn-cs"/>
            </a:rPr>
            <a:t>of 2016</a:t>
          </a:r>
          <a:r>
            <a:rPr lang="en-US" altLang="zh-CN" sz="1200" baseline="0">
              <a:effectLst/>
              <a:latin typeface="+mn-lt"/>
              <a:ea typeface="+mn-ea"/>
              <a:cs typeface="+mn-cs"/>
            </a:rPr>
            <a:t> </a:t>
          </a:r>
          <a:r>
            <a:rPr lang="en-US" altLang="zh-CN" sz="1200">
              <a:effectLst/>
              <a:latin typeface="+mn-lt"/>
              <a:ea typeface="+mn-ea"/>
              <a:cs typeface="+mn-cs"/>
            </a:rPr>
            <a:t>percentage of households without vehicless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9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Tia</cp:lastModifiedBy>
  <cp:revision>10</cp:revision>
  <dcterms:created xsi:type="dcterms:W3CDTF">2019-09-25T03:26:00Z</dcterms:created>
  <dcterms:modified xsi:type="dcterms:W3CDTF">2021-04-23T02:36:00Z</dcterms:modified>
</cp:coreProperties>
</file>