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COI as a Top-Performing Reproduced Baseline in a Large-Scale RGB-T Fusion Benchmark</w:t>
      </w:r>
    </w:p>
    <w:p>
      <w:r>
        <w:rPr>
          <w:b/>
          <w:color w:val="C00000"/>
        </w:rPr>
        <w:t>ATTRIBUTION: COI (Conv-One-Identity) is REPRODUCED from HVPNet (RGB-T salient object detection), NOT an original contribution of this work. Cite HVPNet. Presented here only as a strong, efficiency-favorable baseline within our benchmark.</w:t>
      </w:r>
    </w:p>
    <w:p>
      <w:pPr>
        <w:pStyle w:val="Heading1"/>
      </w:pPr>
      <w:r>
        <w:t>Abstract</w:t>
      </w:r>
    </w:p>
    <w:p>
      <w:r>
        <w:t>We reproduce COI (Conv-One-Identity) from HVPNet inside our large-scale RGB-T fusion benchmark. On FLIR (150 ep) COI reaches mAP50-95 = 0.5216 — within 0.005 of the accuracy ceiling — yet with the lowest compute (108.96G) among the top three, making it the best efficiency-accuracy trade-off of the reproduced baselines.</w:t>
      </w:r>
    </w:p>
    <w:p>
      <w:pPr>
        <w:pStyle w:val="Heading1"/>
      </w:pPr>
      <w:r>
        <w:t>1. Mechanism</w:t>
      </w:r>
    </w:p>
    <w:p>
      <w:r>
        <w:t>COI sums three parallel paths: an identity+BN shortcut, a depthwise convolution (channel-independent), and a 1x1 convolution (cross-channel combination), followed by GELU. It is an extremely lightweight residual primitive that can replace ordinary Conv.</w:t>
      </w:r>
    </w:p>
    <w:p>
      <w:pPr>
        <w:pStyle w:val="Heading1"/>
      </w:pPr>
      <w:r>
        <w:t>2. Experimental Results (FLIR, yolo26s, 150 ep, imgsz640, RGBT-4ch)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mAP50</w:t>
            </w:r>
          </w:p>
        </w:tc>
        <w:tc>
          <w:tcPr>
            <w:tcW w:type="dxa" w:w="4320"/>
          </w:tcPr>
          <w:p>
            <w:r>
              <w:t>0.8799</w:t>
            </w:r>
          </w:p>
        </w:tc>
      </w:tr>
      <w:tr>
        <w:tc>
          <w:tcPr>
            <w:tcW w:type="dxa" w:w="4320"/>
          </w:tcPr>
          <w:p>
            <w:r>
              <w:t>mAP50-95</w:t>
            </w:r>
          </w:p>
        </w:tc>
        <w:tc>
          <w:tcPr>
            <w:tcW w:type="dxa" w:w="4320"/>
          </w:tcPr>
          <w:p>
            <w:r>
              <w:t>0.5216</w:t>
            </w:r>
          </w:p>
        </w:tc>
      </w:tr>
      <w:tr>
        <w:tc>
          <w:tcPr>
            <w:tcW w:type="dxa" w:w="4320"/>
          </w:tcPr>
          <w:p>
            <w:r>
              <w:t>FLOPs(G)</w:t>
            </w:r>
          </w:p>
        </w:tc>
        <w:tc>
          <w:tcPr>
            <w:tcW w:type="dxa" w:w="4320"/>
          </w:tcPr>
          <w:p>
            <w:r>
              <w:t>108.96</w:t>
            </w:r>
          </w:p>
        </w:tc>
      </w:tr>
      <w:tr>
        <w:tc>
          <w:tcPr>
            <w:tcW w:type="dxa" w:w="4320"/>
          </w:tcPr>
          <w:p>
            <w:r>
              <w:t>Params(M)</w:t>
            </w:r>
          </w:p>
        </w:tc>
        <w:tc>
          <w:tcPr>
            <w:tcW w:type="dxa" w:w="4320"/>
          </w:tcPr>
          <w:p>
            <w:r>
              <w:t>14.96</w:t>
            </w:r>
          </w:p>
        </w:tc>
      </w:tr>
      <w:tr>
        <w:tc>
          <w:tcPr>
            <w:tcW w:type="dxa" w:w="4320"/>
          </w:tcPr>
          <w:p>
            <w:r>
              <w:t>FPS</w:t>
            </w:r>
          </w:p>
        </w:tc>
        <w:tc>
          <w:tcPr>
            <w:tcW w:type="dxa" w:w="4320"/>
          </w:tcPr>
          <w:p>
            <w:r>
              <w:t>29.14</w:t>
            </w:r>
          </w:p>
        </w:tc>
      </w:tr>
    </w:tbl>
    <w:p>
      <w:pPr>
        <w:pStyle w:val="Heading1"/>
      </w:pPr>
      <w:r>
        <w:t>3. Role in This Work</w:t>
      </w:r>
    </w:p>
    <w:p>
      <w:r>
        <w:t>COI (HVPNet) is the efficiency-optimal member of the high-score reproduced trio and helps define the accuracy-compute Pareto frontier that our DCAF module targets.</w:t>
      </w:r>
    </w:p>
    <w:p>
      <w:pPr>
        <w:pStyle w:val="Heading1"/>
      </w:pPr>
      <w:r>
        <w:t>References</w:t>
      </w:r>
    </w:p>
    <w:p>
      <w:pPr>
        <w:pStyle w:val="ListBullet"/>
      </w:pPr>
      <w:r>
        <w:t>[1] HVPNet (RGB-T salient object detection) — source of COI. ADD EXACT CITATION.</w:t>
      </w:r>
    </w:p>
    <w:p>
      <w:pPr>
        <w:pStyle w:val="ListBullet"/>
      </w:pPr>
      <w:r>
        <w:t>[2] YOLOv26-RGBT unified framework (this work).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