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DASI as a Top-Performing Reproduced Baseline in a Large-Scale RGB-T Fusion Benchmark</w:t>
      </w:r>
    </w:p>
    <w:p>
      <w:r>
        <w:rPr>
          <w:b/>
          <w:color w:val="C00000"/>
        </w:rPr>
        <w:t>ATTRIBUTION: DASI (Dimension-Aware Selective Integration) is REPRODUCED from existing literature (infrared small-target detection, 2024), NOT an original contribution of this work. Cite the original DASI paper. Presented here only as a strong baseline within our benchmark.</w:t>
      </w:r>
    </w:p>
    <w:p>
      <w:pPr>
        <w:pStyle w:val="Heading1"/>
      </w:pPr>
      <w:r>
        <w:t>Abstract</w:t>
      </w:r>
    </w:p>
    <w:p>
      <w:r>
        <w:t>Within our large-scale RGB-T fusion benchmark, we reproduce DASI (Dimension-Aware Selective Integration). On FLIR it reaches mAP50-95 = 0.5232 (second only to DWR) with 142.5G FLOPs. Its multi-dilation aggregation, inherited from infrared small-target detection, strongly enhances thermal-channel responses.</w:t>
      </w:r>
    </w:p>
    <w:p>
      <w:pPr>
        <w:pStyle w:val="Heading1"/>
      </w:pPr>
      <w:r>
        <w:t>1. Mechanism</w:t>
      </w:r>
    </w:p>
    <w:p>
      <w:r>
        <w:t>DASI uses a 1x1 projection, a "Bag" module of four parallel dilated convolutions (dilation = 2/4/6/8) concatenated and 1x1-fused for multi-scale aggregation, followed by a tail convolution, a skip connection (x + x_skip), BN and ReLU.</w:t>
      </w:r>
    </w:p>
    <w:p>
      <w:pPr>
        <w:pStyle w:val="Heading1"/>
      </w:pPr>
      <w:r>
        <w:t>2. Experimental Results (FLIR, yolo26s, 100 ep, imgsz640, RGBT-4ch)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mAP50</w:t>
            </w:r>
          </w:p>
        </w:tc>
        <w:tc>
          <w:tcPr>
            <w:tcW w:type="dxa" w:w="4320"/>
          </w:tcPr>
          <w:p>
            <w:r>
              <w:t>0.8860</w:t>
            </w:r>
          </w:p>
        </w:tc>
      </w:tr>
      <w:tr>
        <w:tc>
          <w:tcPr>
            <w:tcW w:type="dxa" w:w="4320"/>
          </w:tcPr>
          <w:p>
            <w:r>
              <w:t>mAP50-95</w:t>
            </w:r>
          </w:p>
        </w:tc>
        <w:tc>
          <w:tcPr>
            <w:tcW w:type="dxa" w:w="4320"/>
          </w:tcPr>
          <w:p>
            <w:r>
              <w:t>0.5232</w:t>
            </w:r>
          </w:p>
        </w:tc>
      </w:tr>
      <w:tr>
        <w:tc>
          <w:tcPr>
            <w:tcW w:type="dxa" w:w="4320"/>
          </w:tcPr>
          <w:p>
            <w:r>
              <w:t>FLOPs(G)</w:t>
            </w:r>
          </w:p>
        </w:tc>
        <w:tc>
          <w:tcPr>
            <w:tcW w:type="dxa" w:w="4320"/>
          </w:tcPr>
          <w:p>
            <w:r>
              <w:t>142.46</w:t>
            </w:r>
          </w:p>
        </w:tc>
      </w:tr>
      <w:tr>
        <w:tc>
          <w:tcPr>
            <w:tcW w:type="dxa" w:w="4320"/>
          </w:tcPr>
          <w:p>
            <w:r>
              <w:t>Params(M)</w:t>
            </w:r>
          </w:p>
        </w:tc>
        <w:tc>
          <w:tcPr>
            <w:tcW w:type="dxa" w:w="4320"/>
          </w:tcPr>
          <w:p>
            <w:r>
              <w:t>15.57</w:t>
            </w:r>
          </w:p>
        </w:tc>
      </w:tr>
      <w:tr>
        <w:tc>
          <w:tcPr>
            <w:tcW w:type="dxa" w:w="4320"/>
          </w:tcPr>
          <w:p>
            <w:r>
              <w:t>FPS</w:t>
            </w:r>
          </w:p>
        </w:tc>
        <w:tc>
          <w:tcPr>
            <w:tcW w:type="dxa" w:w="4320"/>
          </w:tcPr>
          <w:p>
            <w:r>
              <w:t>23.66</w:t>
            </w:r>
          </w:p>
        </w:tc>
      </w:tr>
    </w:tbl>
    <w:p>
      <w:pPr>
        <w:pStyle w:val="Heading1"/>
      </w:pPr>
      <w:r>
        <w:t>3. Role in This Work</w:t>
      </w:r>
    </w:p>
    <w:p>
      <w:r>
        <w:t>Together with DWR and COI, DASI forms the top-tier reproduced baseline trio that bounds the achievable accuracy. It highlights that strong multi-scale aggregation is key to high mAP, while motivating lower-cost designs.</w:t>
      </w:r>
    </w:p>
    <w:p>
      <w:pPr>
        <w:pStyle w:val="Heading1"/>
      </w:pPr>
      <w:r>
        <w:t>References</w:t>
      </w:r>
    </w:p>
    <w:p>
      <w:pPr>
        <w:pStyle w:val="ListBullet"/>
      </w:pPr>
      <w:r>
        <w:t>[1] Original DASI (Dimension-Aware Selective Integration, 2024) paper — ADD EXACT CITATION.</w:t>
      </w:r>
    </w:p>
    <w:p>
      <w:pPr>
        <w:pStyle w:val="ListBullet"/>
      </w:pPr>
      <w:r>
        <w:t>[2] YOLOv26-RGBT unified framework (this work).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