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DCAF: Discrepancy-Compensated Adaptive Fusion for RGB-T Object Detection</w:t>
      </w:r>
    </w:p>
    <w:p>
      <w:pPr>
        <w:jc w:val="center"/>
      </w:pPr>
      <w:r>
        <w:rPr>
          <w:i/>
        </w:rPr>
        <w:t>Paper Draft (v0.1) — to be refined after benchmarking</w:t>
      </w:r>
    </w:p>
    <w:p>
      <w:pPr>
        <w:pStyle w:val="Heading1"/>
      </w:pPr>
      <w:r>
        <w:t>Abstract</w:t>
      </w:r>
    </w:p>
    <w:p>
      <w:r>
        <w:t>RGB-Thermal (RGB-T) object detection leverages the complementary cues of visible and infrared modalities to remain robust under adverse illumination. Mid-level feature fusion is a dominant paradigm, yet existing methods suffer from two limitations: (i) global quality-weighting schemes assign a single scalar weight per modality, blind to local failures; (ii) attention / transformer-based fusion is expressive but heavy, unstable to train, and scales poorly. We propose DCAF, a Discrepancy-Compensated Adaptive Fusion module that is lightweight, fully local, and channel-wise. DCAF performs (a) local reliability reweighting that estimates per-location, per-channel reliability maps for both modalities, and (b) a discrepancy-compensated residual that injects complementary signals exactly where the two modalities disagree. DCAF contains no softmax/attention/transformer and adds only ~0.4M parameters per fusion stage, comparable to global-weighting baselines.</w:t>
      </w:r>
    </w:p>
    <w:p>
      <w:pPr>
        <w:pStyle w:val="Heading1"/>
      </w:pPr>
      <w:r>
        <w:t>1. Introduction</w:t>
      </w:r>
    </w:p>
    <w:p>
      <w:r>
        <w:t>Multispectral object detection benefits from the complementary nature of RGB (texture, color, structure) and thermal (heat signature, illumination invariance) images. The core question is how to fuse them. We observe that cross-modal disagreement (large |V-I|) is frequently not noise but a complementary signal: where one modality fails, the other often carries the missing evidence. Existing fusion either ignores this locality (global weights) or models it with costly cross-attention. DCAF bridges the gap with a cheap, local, complementary mechanism.</w:t>
      </w:r>
    </w:p>
    <w:p>
      <w:pPr>
        <w:pStyle w:val="Heading1"/>
      </w:pPr>
      <w:r>
        <w:t>2. Related Work</w:t>
      </w:r>
    </w:p>
    <w:p>
      <w:pPr>
        <w:pStyle w:val="ListBullet"/>
      </w:pPr>
      <w:r>
        <w:t>Global quality weighting (e.g., QualityWeightedFusion): one scalar weight per modality over the whole image — blind to local modality failure.</w:t>
      </w:r>
    </w:p>
    <w:p>
      <w:pPr>
        <w:pStyle w:val="ListBullet"/>
      </w:pPr>
      <w:r>
        <w:t>Difference + global pooling (e.g., DMAF): applies GAP to the difference map, discarding spatial discrimination.</w:t>
      </w:r>
    </w:p>
    <w:p>
      <w:pPr>
        <w:pStyle w:val="ListBullet"/>
      </w:pPr>
      <w:r>
        <w:t>Edge blending (e.g., EdgeBlendFusion): Sobel edges with fixed mixing, no reliability modeling, no discrepancy compensation.</w:t>
      </w:r>
    </w:p>
    <w:p>
      <w:pPr>
        <w:pStyle w:val="ListBullet"/>
      </w:pPr>
      <w:r>
        <w:t>Transformer / cross-attention fusion (e.g., ICAFusion, C2Former, HAFFormer): strong but parameter-heavy, training-unstable, ~O(N^2).</w:t>
      </w:r>
    </w:p>
    <w:p>
      <w:pPr>
        <w:pStyle w:val="Heading1"/>
      </w:pPr>
      <w:r>
        <w:t>3. Method</w:t>
      </w:r>
    </w:p>
    <w:p>
      <w:pPr>
        <w:pStyle w:val="Heading2"/>
      </w:pPr>
      <w:r>
        <w:t>3.1 Local Reliability Reweighting</w:t>
      </w:r>
    </w:p>
    <w:p>
      <w:r>
        <w:t>A shared lightweight bottleneck (1x1 -&gt; SiLU -&gt; 1x1) predicts per-location, per-channel reliability maps r_v, r_i in [0,1] for the visible and infrared branches. The base feature is a reliability-normalized combination: base = (r_v * V + r_i * I) / (r_v + r_i + eps). This localizes "where and which channel" is trustworthy, unlike a global scalar.</w:t>
      </w:r>
    </w:p>
    <w:p>
      <w:pPr>
        <w:pStyle w:val="Heading2"/>
      </w:pPr>
      <w:r>
        <w:t>3.2 Discrepancy-Compensated Residual (Core Innovation)</w:t>
      </w:r>
    </w:p>
    <w:p>
      <w:r>
        <w:t>We define the cross-modal discrepancy delta = V - I. Rather than discarding it, a 3x3 depthwise-separable convolution learns a local gate g = sigmoid(DWConv3x3(delta)) that is high precisely where the modalities disagree. The output is out = proj(base + lambda * g * delta), injecting the complementary signal only at disagreement regions. lambda is a learnable scalar (init 0.1).</w:t>
      </w:r>
    </w:p>
    <w:p>
      <w:pPr>
        <w:pStyle w:val="Heading1"/>
      </w:pPr>
      <w:r>
        <w:t>4. Experiments</w:t>
      </w:r>
    </w:p>
    <w:p>
      <w:pPr>
        <w:pStyle w:val="Heading2"/>
      </w:pPr>
      <w:r>
        <w:t>4.1 Setup</w:t>
      </w:r>
    </w:p>
    <w:p>
      <w:r>
        <w:t>We adopt the unified YOLOv26-RGBT dual-backbone framework (RGBT 4-channel input) and replace the Concat at P3/P4/P5 with DCAF. All modules are evaluated under identical settings on FLIR (nc=3, imgsz=640, yolo26s) for a strictly controlled comparison.</w:t>
      </w:r>
    </w:p>
    <w:p>
      <w:pPr>
        <w:pStyle w:val="Heading2"/>
      </w:pPr>
      <w:r>
        <w:t>4.2 Reproduced High-Score Baselines (from our benchmark)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Module</w:t>
            </w:r>
          </w:p>
        </w:tc>
        <w:tc>
          <w:tcPr>
            <w:tcW w:type="dxa" w:w="1234"/>
          </w:tcPr>
          <w:p>
            <w:r>
              <w:t>mAP50</w:t>
            </w:r>
          </w:p>
        </w:tc>
        <w:tc>
          <w:tcPr>
            <w:tcW w:type="dxa" w:w="1234"/>
          </w:tcPr>
          <w:p>
            <w:r>
              <w:t>mAP50-95</w:t>
            </w:r>
          </w:p>
        </w:tc>
        <w:tc>
          <w:tcPr>
            <w:tcW w:type="dxa" w:w="1234"/>
          </w:tcPr>
          <w:p>
            <w:r>
              <w:t>FLOPs(G)</w:t>
            </w:r>
          </w:p>
        </w:tc>
        <w:tc>
          <w:tcPr>
            <w:tcW w:type="dxa" w:w="1234"/>
          </w:tcPr>
          <w:p>
            <w:r>
              <w:t>Params(M)</w:t>
            </w:r>
          </w:p>
        </w:tc>
        <w:tc>
          <w:tcPr>
            <w:tcW w:type="dxa" w:w="1234"/>
          </w:tcPr>
          <w:p>
            <w:r>
              <w:t>FPS</w:t>
            </w:r>
          </w:p>
        </w:tc>
        <w:tc>
          <w:tcPr>
            <w:tcW w:type="dxa" w:w="1234"/>
          </w:tcPr>
          <w:p>
            <w:r>
              <w:t>Note</w:t>
            </w:r>
          </w:p>
        </w:tc>
      </w:tr>
      <w:tr>
        <w:tc>
          <w:tcPr>
            <w:tcW w:type="dxa" w:w="1234"/>
          </w:tcPr>
          <w:p>
            <w:r>
              <w:t>midfusion (base)</w:t>
            </w:r>
          </w:p>
        </w:tc>
        <w:tc>
          <w:tcPr>
            <w:tcW w:type="dxa" w:w="1234"/>
          </w:tcPr>
          <w:p>
            <w:r>
              <w:t>0.8518</w:t>
            </w:r>
          </w:p>
        </w:tc>
        <w:tc>
          <w:tcPr>
            <w:tcW w:type="dxa" w:w="1234"/>
          </w:tcPr>
          <w:p>
            <w:r>
              <w:t>0.4920</w:t>
            </w:r>
          </w:p>
        </w:tc>
        <w:tc>
          <w:tcPr>
            <w:tcW w:type="dxa" w:w="1234"/>
          </w:tcPr>
          <w:p>
            <w:r>
              <w:t>34.41</w:t>
            </w:r>
          </w:p>
        </w:tc>
        <w:tc>
          <w:tcPr>
            <w:tcW w:type="dxa" w:w="1234"/>
          </w:tcPr>
          <w:p>
            <w:r>
              <w:t>15.24</w:t>
            </w:r>
          </w:p>
        </w:tc>
        <w:tc>
          <w:tcPr>
            <w:tcW w:type="dxa" w:w="1234"/>
          </w:tcPr>
          <w:p>
            <w:r>
              <w:t>80.58</w:t>
            </w:r>
          </w:p>
        </w:tc>
        <w:tc>
          <w:tcPr>
            <w:tcW w:type="dxa" w:w="1234"/>
          </w:tcPr>
          <w:p>
            <w:r>
              <w:t>concat baseline</w:t>
            </w:r>
          </w:p>
        </w:tc>
      </w:tr>
      <w:tr>
        <w:tc>
          <w:tcPr>
            <w:tcW w:type="dxa" w:w="1234"/>
          </w:tcPr>
          <w:p>
            <w:r>
              <w:t>DWR (repro.)</w:t>
            </w:r>
          </w:p>
        </w:tc>
        <w:tc>
          <w:tcPr>
            <w:tcW w:type="dxa" w:w="1234"/>
          </w:tcPr>
          <w:p>
            <w:r>
              <w:t>0.8830</w:t>
            </w:r>
          </w:p>
        </w:tc>
        <w:tc>
          <w:tcPr>
            <w:tcW w:type="dxa" w:w="1234"/>
          </w:tcPr>
          <w:p>
            <w:r>
              <w:t>0.5262</w:t>
            </w:r>
          </w:p>
        </w:tc>
        <w:tc>
          <w:tcPr>
            <w:tcW w:type="dxa" w:w="1234"/>
          </w:tcPr>
          <w:p>
            <w:r>
              <w:t>158.61</w:t>
            </w:r>
          </w:p>
        </w:tc>
        <w:tc>
          <w:tcPr>
            <w:tcW w:type="dxa" w:w="1234"/>
          </w:tcPr>
          <w:p>
            <w:r>
              <w:t>15.26</w:t>
            </w:r>
          </w:p>
        </w:tc>
        <w:tc>
          <w:tcPr>
            <w:tcW w:type="dxa" w:w="1234"/>
          </w:tcPr>
          <w:p>
            <w:r>
              <w:t>19.44</w:t>
            </w:r>
          </w:p>
        </w:tc>
        <w:tc>
          <w:tcPr>
            <w:tcW w:type="dxa" w:w="1234"/>
          </w:tcPr>
          <w:p>
            <w:r>
              <w:t>accuracy ceiling</w:t>
            </w:r>
          </w:p>
        </w:tc>
      </w:tr>
      <w:tr>
        <w:tc>
          <w:tcPr>
            <w:tcW w:type="dxa" w:w="1234"/>
          </w:tcPr>
          <w:p>
            <w:r>
              <w:t>DASI (repro.)</w:t>
            </w:r>
          </w:p>
        </w:tc>
        <w:tc>
          <w:tcPr>
            <w:tcW w:type="dxa" w:w="1234"/>
          </w:tcPr>
          <w:p>
            <w:r>
              <w:t>0.8860</w:t>
            </w:r>
          </w:p>
        </w:tc>
        <w:tc>
          <w:tcPr>
            <w:tcW w:type="dxa" w:w="1234"/>
          </w:tcPr>
          <w:p>
            <w:r>
              <w:t>0.5232</w:t>
            </w:r>
          </w:p>
        </w:tc>
        <w:tc>
          <w:tcPr>
            <w:tcW w:type="dxa" w:w="1234"/>
          </w:tcPr>
          <w:p>
            <w:r>
              <w:t>142.46</w:t>
            </w:r>
          </w:p>
        </w:tc>
        <w:tc>
          <w:tcPr>
            <w:tcW w:type="dxa" w:w="1234"/>
          </w:tcPr>
          <w:p>
            <w:r>
              <w:t>15.57</w:t>
            </w:r>
          </w:p>
        </w:tc>
        <w:tc>
          <w:tcPr>
            <w:tcW w:type="dxa" w:w="1234"/>
          </w:tcPr>
          <w:p>
            <w:r>
              <w:t>23.66</w:t>
            </w:r>
          </w:p>
        </w:tc>
        <w:tc>
          <w:tcPr>
            <w:tcW w:type="dxa" w:w="1234"/>
          </w:tcPr>
          <w:p>
            <w:r>
              <w:t>accuracy ceiling</w:t>
            </w:r>
          </w:p>
        </w:tc>
      </w:tr>
      <w:tr>
        <w:tc>
          <w:tcPr>
            <w:tcW w:type="dxa" w:w="1234"/>
          </w:tcPr>
          <w:p>
            <w:r>
              <w:t>COI (repro., HVPNet)</w:t>
            </w:r>
          </w:p>
        </w:tc>
        <w:tc>
          <w:tcPr>
            <w:tcW w:type="dxa" w:w="1234"/>
          </w:tcPr>
          <w:p>
            <w:r>
              <w:t>0.8799</w:t>
            </w:r>
          </w:p>
        </w:tc>
        <w:tc>
          <w:tcPr>
            <w:tcW w:type="dxa" w:w="1234"/>
          </w:tcPr>
          <w:p>
            <w:r>
              <w:t>0.5216</w:t>
            </w:r>
          </w:p>
        </w:tc>
        <w:tc>
          <w:tcPr>
            <w:tcW w:type="dxa" w:w="1234"/>
          </w:tcPr>
          <w:p>
            <w:r>
              <w:t>108.96</w:t>
            </w:r>
          </w:p>
        </w:tc>
        <w:tc>
          <w:tcPr>
            <w:tcW w:type="dxa" w:w="1234"/>
          </w:tcPr>
          <w:p>
            <w:r>
              <w:t>14.96</w:t>
            </w:r>
          </w:p>
        </w:tc>
        <w:tc>
          <w:tcPr>
            <w:tcW w:type="dxa" w:w="1234"/>
          </w:tcPr>
          <w:p>
            <w:r>
              <w:t>29.14</w:t>
            </w:r>
          </w:p>
        </w:tc>
        <w:tc>
          <w:tcPr>
            <w:tcW w:type="dxa" w:w="1234"/>
          </w:tcPr>
          <w:p>
            <w:r>
              <w:t>best efficiency among top-3</w:t>
            </w:r>
          </w:p>
        </w:tc>
      </w:tr>
      <w:tr>
        <w:tc>
          <w:tcPr>
            <w:tcW w:type="dxa" w:w="1234"/>
          </w:tcPr>
          <w:p>
            <w:r>
              <w:t>DCAF (ours)</w:t>
            </w:r>
          </w:p>
        </w:tc>
        <w:tc>
          <w:tcPr>
            <w:tcW w:type="dxa" w:w="1234"/>
          </w:tcPr>
          <w:p>
            <w:r>
              <w:t>—</w:t>
            </w:r>
          </w:p>
        </w:tc>
        <w:tc>
          <w:tcPr>
            <w:tcW w:type="dxa" w:w="1234"/>
          </w:tcPr>
          <w:p>
            <w:r>
              <w:t>TBD</w:t>
            </w:r>
          </w:p>
        </w:tc>
        <w:tc>
          <w:tcPr>
            <w:tcW w:type="dxa" w:w="1234"/>
          </w:tcPr>
          <w:p>
            <w:r>
              <w:t>~38*</w:t>
            </w:r>
          </w:p>
        </w:tc>
        <w:tc>
          <w:tcPr>
            <w:tcW w:type="dxa" w:w="1234"/>
          </w:tcPr>
          <w:p>
            <w:r>
              <w:t>~15.6*</w:t>
            </w:r>
          </w:p>
        </w:tc>
        <w:tc>
          <w:tcPr>
            <w:tcW w:type="dxa" w:w="1234"/>
          </w:tcPr>
          <w:p>
            <w:r>
              <w:t>TBD</w:t>
            </w:r>
          </w:p>
        </w:tc>
        <w:tc>
          <w:tcPr>
            <w:tcW w:type="dxa" w:w="1234"/>
          </w:tcPr>
          <w:p>
            <w:r>
              <w:t>*est. from param budget; fill after training</w:t>
            </w:r>
          </w:p>
        </w:tc>
      </w:tr>
    </w:tbl>
    <w:p>
      <w:r>
        <w:t>DCAF results will be filled after training on FLIR / LLVIP / M3FD / KAIST. The design target is to approach the DWR/DASI/COI accuracy ceiling at a fraction of their compute.</w:t>
      </w:r>
    </w:p>
    <w:p>
      <w:pPr>
        <w:pStyle w:val="Heading1"/>
      </w:pPr>
      <w:r>
        <w:t>5. Conclusion</w:t>
      </w:r>
    </w:p>
    <w:p>
      <w:r>
        <w:t>DCAF introduces discrepancy compensation as a complementary-signal recovery mechanism and local reliability reweighting for RGB-T fusion, achieving locality and complementarity without attention or transformers. We will validate it on multiple RGB-T benchmarks.</w:t>
      </w:r>
    </w:p>
    <w:p>
      <w:pPr>
        <w:pStyle w:val="Heading1"/>
      </w:pPr>
      <w:r>
        <w:t>References</w:t>
      </w:r>
    </w:p>
    <w:p>
      <w:pPr>
        <w:pStyle w:val="ListBullet"/>
      </w:pPr>
      <w:r>
        <w:t>[1] QualityWeightedFusion / EI2Det (global quality weighting).</w:t>
      </w:r>
    </w:p>
    <w:p>
      <w:pPr>
        <w:pStyle w:val="ListBullet"/>
      </w:pPr>
      <w:r>
        <w:t>[2] DMAF (difference + global pooling).</w:t>
      </w:r>
    </w:p>
    <w:p>
      <w:pPr>
        <w:pStyle w:val="ListBullet"/>
      </w:pPr>
      <w:r>
        <w:t>[3] ICAFusion / C2Former / HAFFormer (cross-attention fusion).</w:t>
      </w:r>
    </w:p>
    <w:p>
      <w:pPr>
        <w:pStyle w:val="ListBullet"/>
      </w:pPr>
      <w:r>
        <w:t>[4] HVPNet (source of COI). [5] DWR / DASI original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