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DWR as a Top-Performing Reproduced Baseline in a Large-Scale RGB-T Fusion Benchmark</w:t>
      </w:r>
    </w:p>
    <w:p>
      <w:r>
        <w:rPr>
          <w:b/>
          <w:color w:val="C00000"/>
        </w:rPr>
        <w:t>ATTRIBUTION: DWR (Dilated-Wise Residual attention) is REPRODUCED from existing literature, NOT an original contribution of this work. Cite the original DWR paper. Presented here only as a strong baseline within our benchmark.</w:t>
      </w:r>
    </w:p>
    <w:p>
      <w:pPr>
        <w:pStyle w:val="Heading1"/>
      </w:pPr>
      <w:r>
        <w:t>Abstract</w:t>
      </w:r>
    </w:p>
    <w:p>
      <w:r>
        <w:t>As part of a large-scale, strictly controlled benchmark of RGB-T fusion modules built on the unified YOLOv26-RGBT framework, we reproduce DWR (Dilated-Wise Residual attention). DWR attains the highest mAP50-95 (0.5262) among all evaluated modules on FLIR, at the cost of the largest compute (158.6G FLOPs, 19.4 FPS). It serves as the accuracy ceiling reference for the benchmark.</w:t>
      </w:r>
    </w:p>
    <w:p>
      <w:pPr>
        <w:pStyle w:val="Heading1"/>
      </w:pPr>
      <w:r>
        <w:t>1. Mechanism</w:t>
      </w:r>
    </w:p>
    <w:p>
      <w:r>
        <w:t>DWR applies parallel dilated convolutions (dilation = 1, 3, 5) after a dimension-reduction 3x3 conv, concatenates the multi-scale outputs, fuses with 1x1, and adds a residual connection. This captures targets at multiple scales simultaneously.</w:t>
      </w:r>
    </w:p>
    <w:p>
      <w:pPr>
        <w:pStyle w:val="Heading1"/>
      </w:pPr>
      <w:r>
        <w:t>2. Experimental Results (FLIR, yolo26s, 100 ep, imgsz640, RGBT-4ch)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mAP50</w:t>
            </w:r>
          </w:p>
        </w:tc>
        <w:tc>
          <w:tcPr>
            <w:tcW w:type="dxa" w:w="4320"/>
          </w:tcPr>
          <w:p>
            <w:r>
              <w:t>0.8830</w:t>
            </w:r>
          </w:p>
        </w:tc>
      </w:tr>
      <w:tr>
        <w:tc>
          <w:tcPr>
            <w:tcW w:type="dxa" w:w="4320"/>
          </w:tcPr>
          <w:p>
            <w:r>
              <w:t>mAP50-95</w:t>
            </w:r>
          </w:p>
        </w:tc>
        <w:tc>
          <w:tcPr>
            <w:tcW w:type="dxa" w:w="4320"/>
          </w:tcPr>
          <w:p>
            <w:r>
              <w:t>0.5262 (benchmark best)</w:t>
            </w:r>
          </w:p>
        </w:tc>
      </w:tr>
      <w:tr>
        <w:tc>
          <w:tcPr>
            <w:tcW w:type="dxa" w:w="4320"/>
          </w:tcPr>
          <w:p>
            <w:r>
              <w:t>FLOPs(G)</w:t>
            </w:r>
          </w:p>
        </w:tc>
        <w:tc>
          <w:tcPr>
            <w:tcW w:type="dxa" w:w="4320"/>
          </w:tcPr>
          <w:p>
            <w:r>
              <w:t>158.61</w:t>
            </w:r>
          </w:p>
        </w:tc>
      </w:tr>
      <w:tr>
        <w:tc>
          <w:tcPr>
            <w:tcW w:type="dxa" w:w="4320"/>
          </w:tcPr>
          <w:p>
            <w:r>
              <w:t>Params(M)</w:t>
            </w:r>
          </w:p>
        </w:tc>
        <w:tc>
          <w:tcPr>
            <w:tcW w:type="dxa" w:w="4320"/>
          </w:tcPr>
          <w:p>
            <w:r>
              <w:t>15.26</w:t>
            </w:r>
          </w:p>
        </w:tc>
      </w:tr>
      <w:tr>
        <w:tc>
          <w:tcPr>
            <w:tcW w:type="dxa" w:w="4320"/>
          </w:tcPr>
          <w:p>
            <w:r>
              <w:t>FPS</w:t>
            </w:r>
          </w:p>
        </w:tc>
        <w:tc>
          <w:tcPr>
            <w:tcW w:type="dxa" w:w="4320"/>
          </w:tcPr>
          <w:p>
            <w:r>
              <w:t>19.44</w:t>
            </w:r>
          </w:p>
        </w:tc>
      </w:tr>
    </w:tbl>
    <w:p>
      <w:pPr>
        <w:pStyle w:val="Heading1"/>
      </w:pPr>
      <w:r>
        <w:t>3. Role in This Work</w:t>
      </w:r>
    </w:p>
    <w:p>
      <w:r>
        <w:t>DWR defines the accuracy upper bound of reproduced modules. Its high compute motivates the design of lightweight alternatives (e.g., our DCAF) that approach this ceiling at lower cost.</w:t>
      </w:r>
    </w:p>
    <w:p>
      <w:pPr>
        <w:pStyle w:val="Heading1"/>
      </w:pPr>
      <w:r>
        <w:t>References</w:t>
      </w:r>
    </w:p>
    <w:p>
      <w:pPr>
        <w:pStyle w:val="ListBullet"/>
      </w:pPr>
      <w:r>
        <w:t>[1] Original DWR (Dilated-Wise Residual) paper — ADD EXACT CITATION.</w:t>
      </w:r>
    </w:p>
    <w:p>
      <w:pPr>
        <w:pStyle w:val="ListBullet"/>
      </w:pPr>
      <w:r>
        <w:t>[2] YOLOv26-RGBT unified framework (this work).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