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COI as a Top-Performing Reproduced Baseline in a Large-Scale RGB-T Fusion Benchmark</w:t>
      </w:r>
    </w:p>
    <w:p>
      <w:r>
        <w:rPr>
          <w:b/>
          <w:color w:val="C00000"/>
        </w:rPr>
        <w:t>ATTRIBUTION: COI (Conv-One-Identity) is REPRODUCED from HVPNet (RGB-T salient object detection), NOT an original contribution of this work. Cite HVPNet. Presented here only as a strong, efficiency-favorable baseline within our benchmark.</w:t>
      </w:r>
    </w:p>
    <w:p>
      <w:pPr>
        <w:pStyle w:val="Heading1"/>
      </w:pPr>
      <w:r>
        <w:t>Abstract</w:t>
      </w:r>
    </w:p>
    <w:p>
      <w:r>
        <w:t>We reproduce COI (Conv-One-Identity) from HVPNet inside our large-scale RGB-T fusion benchmark. On FLIR (150 ep) COI reaches mAP50-95 = 0.5216 — within 0.005 of the accuracy ceiling — yet with the lowest compute (108.96 GFLOPs) among the top three, making it the best efficiency-accuracy trade-off of the reproduced baselines.</w:t>
      </w:r>
    </w:p>
    <w:p>
      <w:pPr>
        <w:pStyle w:val="Heading1"/>
      </w:pPr>
      <w:r>
        <w:t>1. Module Design</w:t>
      </w:r>
    </w:p>
    <w:p>
      <w:r>
        <w:t>COI sums three parallel paths: (i) an identity+BN shortcut, (ii) a depthwise convolution that keeps channels independent, and (iii) a 1x1 convolution for cross-channel combination. The three outputs are added and passed through GELU. It is an extremely lightweight residual primitive that can replace an ordinary convolution anywhere in the network.</w:t>
      </w:r>
    </w:p>
    <w:p>
      <w:pPr>
        <w:pStyle w:val="Heading1"/>
      </w:pPr>
      <w:r>
        <w:t>2. Why It Scores High in RGB-T</w:t>
      </w:r>
    </w:p>
    <w:p>
      <w:r>
        <w:t>The triple-path design enriches feature transformation at minimal parameter cost: the depthwise path preserves spatial detail per channel while the 1x1 path mixes channels, and the identity path guarantees gradient flow. This lets COI approach transformer-level accuracy without heavy modules.</w:t>
      </w:r>
    </w:p>
    <w:p>
      <w:pPr>
        <w:pStyle w:val="Heading1"/>
      </w:pPr>
      <w:r>
        <w:t>3. Experimental Results (FLIR, yolo26s, 150 ep, imgsz 640, RGBT-4ch)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mAP50</w:t>
            </w:r>
          </w:p>
        </w:tc>
        <w:tc>
          <w:tcPr>
            <w:tcW w:type="dxa" w:w="4320"/>
          </w:tcPr>
          <w:p>
            <w:r>
              <w:t>0.8799</w:t>
            </w:r>
          </w:p>
        </w:tc>
      </w:tr>
      <w:tr>
        <w:tc>
          <w:tcPr>
            <w:tcW w:type="dxa" w:w="4320"/>
          </w:tcPr>
          <w:p>
            <w:r>
              <w:t>mAP50-95</w:t>
            </w:r>
          </w:p>
        </w:tc>
        <w:tc>
          <w:tcPr>
            <w:tcW w:type="dxa" w:w="4320"/>
          </w:tcPr>
          <w:p>
            <w:r>
              <w:t>0.5216</w:t>
            </w:r>
          </w:p>
        </w:tc>
      </w:tr>
      <w:tr>
        <w:tc>
          <w:tcPr>
            <w:tcW w:type="dxa" w:w="4320"/>
          </w:tcPr>
          <w:p>
            <w:r>
              <w:t>FLOPs(G)</w:t>
            </w:r>
          </w:p>
        </w:tc>
        <w:tc>
          <w:tcPr>
            <w:tcW w:type="dxa" w:w="4320"/>
          </w:tcPr>
          <w:p>
            <w:r>
              <w:t>108.96</w:t>
            </w:r>
          </w:p>
        </w:tc>
      </w:tr>
      <w:tr>
        <w:tc>
          <w:tcPr>
            <w:tcW w:type="dxa" w:w="4320"/>
          </w:tcPr>
          <w:p>
            <w:r>
              <w:t>Params(M)</w:t>
            </w:r>
          </w:p>
        </w:tc>
        <w:tc>
          <w:tcPr>
            <w:tcW w:type="dxa" w:w="4320"/>
          </w:tcPr>
          <w:p>
            <w:r>
              <w:t>14.96</w:t>
            </w:r>
          </w:p>
        </w:tc>
      </w:tr>
      <w:tr>
        <w:tc>
          <w:tcPr>
            <w:tcW w:type="dxa" w:w="4320"/>
          </w:tcPr>
          <w:p>
            <w:r>
              <w:t>FPS</w:t>
            </w:r>
          </w:p>
        </w:tc>
        <w:tc>
          <w:tcPr>
            <w:tcW w:type="dxa" w:w="4320"/>
          </w:tcPr>
          <w:p>
            <w:r>
              <w:t>29.14</w:t>
            </w:r>
          </w:p>
        </w:tc>
      </w:tr>
    </w:tbl>
    <w:p>
      <w:pPr>
        <w:pStyle w:val="Heading1"/>
      </w:pPr>
      <w:r>
        <w:t>4. Analysis</w:t>
      </w:r>
    </w:p>
    <w:p>
      <w:r>
        <w:t>COI is the efficiency-optimal member of the high-score reproduced trio: it is within 0.5 mAP50-95 points of DWR while requiring ~31% less compute and running ~50% faster. It demonstrates that a carefully designed lightweight primitive can nearly match heavy multi-scale modules.</w:t>
      </w:r>
    </w:p>
    <w:p>
      <w:pPr>
        <w:pStyle w:val="Heading1"/>
      </w:pPr>
      <w:r>
        <w:t>5. Role in This Work</w:t>
      </w:r>
    </w:p>
    <w:p>
      <w:r>
        <w:t>COI (HVPNet) helps define the accuracy-compute Pareto frontier that our DCAF module targets from the efficient side.</w:t>
      </w:r>
    </w:p>
    <w:p>
      <w:pPr>
        <w:pStyle w:val="Heading1"/>
      </w:pPr>
      <w:r>
        <w:t>References</w:t>
      </w:r>
    </w:p>
    <w:p>
      <w:pPr>
        <w:pStyle w:val="ListBullet"/>
      </w:pPr>
      <w:r>
        <w:t>[1] HVPNet (RGB-T salient object detection) — source of COI. ADD EXACT CITATION.</w:t>
      </w:r>
    </w:p>
    <w:p>
      <w:pPr>
        <w:pStyle w:val="ListBullet"/>
      </w:pPr>
      <w:r>
        <w:t>[2] YOLOv26-RGBT unified framework (this work).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