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DASI as a Top-Performing Reproduced Baseline in a Large-Scale RGB-T Fusion Benchmark</w:t>
      </w:r>
    </w:p>
    <w:p>
      <w:r>
        <w:rPr>
          <w:b/>
          <w:color w:val="C00000"/>
        </w:rPr>
        <w:t>ATTRIBUTION: DASI (Dimension-Aware Selective Integration) is REPRODUCED from existing literature (infrared small-target detection, 2024), NOT an original contribution of this work. Cite the original DASI paper. Presented here only as a strong baseline within our benchmark.</w:t>
      </w:r>
    </w:p>
    <w:p>
      <w:pPr>
        <w:pStyle w:val="Heading1"/>
      </w:pPr>
      <w:r>
        <w:t>Abstract</w:t>
      </w:r>
    </w:p>
    <w:p>
      <w:r>
        <w:t>Within our large-scale RGB-T fusion benchmark, we reproduce DASI (Dimension-Aware Selective Integration). On FLIR it reaches mAP50-95 = 0.5232 (second only to DWR) with 142.5 GFLOPs. Its multi-dilation aggregation, inherited from infrared small-target detection, strongly enhances thermal-channel responses and yields competitive accuracy at a slightly lower cost than DWR.</w:t>
      </w:r>
    </w:p>
    <w:p>
      <w:pPr>
        <w:pStyle w:val="Heading1"/>
      </w:pPr>
      <w:r>
        <w:t>1. Module Design</w:t>
      </w:r>
    </w:p>
    <w:p>
      <w:r>
        <w:t>DASI uses a 1x1 projection, followed by a "Bag" module composed of four parallel dilated convolutions (dilation 2/4/6/8) that are concatenated and 1x1-fused for multi-scale aggregation. A tail convolution, a skip connection (x + x_skip), batch normalization, and ReLU complete the block. The wider range of dilations (up to 8) gives DASI an even larger effective receptive field than DWR’s dilation set (1/3/5).</w:t>
      </w:r>
    </w:p>
    <w:p>
      <w:pPr>
        <w:pStyle w:val="Heading1"/>
      </w:pPr>
      <w:r>
        <w:t>2. Why It Scores High in RGB-T</w:t>
      </w:r>
    </w:p>
    <w:p>
      <w:r>
        <w:t>The module was originally designed for infrared small targets, where enhancing weak, sparse thermal responses is critical. Transplanted to RGB-T detection, this selective, multi-scale aggregation sharpens thermal evidence and improves localization of small/far objects.</w:t>
      </w:r>
    </w:p>
    <w:p>
      <w:pPr>
        <w:pStyle w:val="Heading1"/>
      </w:pPr>
      <w:r>
        <w:t>3. Experimental Results (FLIR, yolo26s, 100 ep, imgsz 640, RGBT-4ch)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mAP50</w:t>
            </w:r>
          </w:p>
        </w:tc>
        <w:tc>
          <w:tcPr>
            <w:tcW w:type="dxa" w:w="4320"/>
          </w:tcPr>
          <w:p>
            <w:r>
              <w:t>0.8860</w:t>
            </w:r>
          </w:p>
        </w:tc>
      </w:tr>
      <w:tr>
        <w:tc>
          <w:tcPr>
            <w:tcW w:type="dxa" w:w="4320"/>
          </w:tcPr>
          <w:p>
            <w:r>
              <w:t>mAP50-95</w:t>
            </w:r>
          </w:p>
        </w:tc>
        <w:tc>
          <w:tcPr>
            <w:tcW w:type="dxa" w:w="4320"/>
          </w:tcPr>
          <w:p>
            <w:r>
              <w:t>0.5232</w:t>
            </w:r>
          </w:p>
        </w:tc>
      </w:tr>
      <w:tr>
        <w:tc>
          <w:tcPr>
            <w:tcW w:type="dxa" w:w="4320"/>
          </w:tcPr>
          <w:p>
            <w:r>
              <w:t>FLOPs(G)</w:t>
            </w:r>
          </w:p>
        </w:tc>
        <w:tc>
          <w:tcPr>
            <w:tcW w:type="dxa" w:w="4320"/>
          </w:tcPr>
          <w:p>
            <w:r>
              <w:t>142.46</w:t>
            </w:r>
          </w:p>
        </w:tc>
      </w:tr>
      <w:tr>
        <w:tc>
          <w:tcPr>
            <w:tcW w:type="dxa" w:w="4320"/>
          </w:tcPr>
          <w:p>
            <w:r>
              <w:t>Params(M)</w:t>
            </w:r>
          </w:p>
        </w:tc>
        <w:tc>
          <w:tcPr>
            <w:tcW w:type="dxa" w:w="4320"/>
          </w:tcPr>
          <w:p>
            <w:r>
              <w:t>15.57</w:t>
            </w:r>
          </w:p>
        </w:tc>
      </w:tr>
      <w:tr>
        <w:tc>
          <w:tcPr>
            <w:tcW w:type="dxa" w:w="4320"/>
          </w:tcPr>
          <w:p>
            <w:r>
              <w:t>FPS</w:t>
            </w:r>
          </w:p>
        </w:tc>
        <w:tc>
          <w:tcPr>
            <w:tcW w:type="dxa" w:w="4320"/>
          </w:tcPr>
          <w:p>
            <w:r>
              <w:t>23.66</w:t>
            </w:r>
          </w:p>
        </w:tc>
      </w:tr>
    </w:tbl>
    <w:p>
      <w:pPr>
        <w:pStyle w:val="Heading1"/>
      </w:pPr>
      <w:r>
        <w:t>4. Analysis</w:t>
      </w:r>
    </w:p>
    <w:p>
      <w:r>
        <w:t>DASI is essentially tied with DWR on accuracy while using ~10% less compute, confirming that aggressive multi-scale aggregation is the dominant factor behind the top-tier scores. Together with DWR and COI it forms the high-accuracy reproduced trio that bounds achievable precision.</w:t>
      </w:r>
    </w:p>
    <w:p>
      <w:pPr>
        <w:pStyle w:val="Heading1"/>
      </w:pPr>
      <w:r>
        <w:t>5. Role in This Work</w:t>
      </w:r>
    </w:p>
    <w:p>
      <w:r>
        <w:t>DASI helps define the accuracy-compute Pareto frontier that our DCAF module aims to approach from the efficient side.</w:t>
      </w:r>
    </w:p>
    <w:p>
      <w:pPr>
        <w:pStyle w:val="Heading1"/>
      </w:pPr>
      <w:r>
        <w:t>References</w:t>
      </w:r>
    </w:p>
    <w:p>
      <w:pPr>
        <w:pStyle w:val="ListBullet"/>
      </w:pPr>
      <w:r>
        <w:t>[1] Original DASI (Dimension-Aware Selective Integration, 2024) paper — ADD EXACT CITATION.</w:t>
      </w:r>
    </w:p>
    <w:p>
      <w:pPr>
        <w:pStyle w:val="ListBullet"/>
      </w:pPr>
      <w:r>
        <w:t>[2] YOLOv26-RGBT unified framework (this work).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