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DCAF: Discrepancy-Compensated Adaptive Fusion for RGB-Thermal Object Detection</w:t>
      </w:r>
    </w:p>
    <w:p>
      <w:pPr>
        <w:jc w:val="center"/>
      </w:pPr>
      <w:r>
        <w:rPr>
          <w:i/>
        </w:rPr>
        <w:t>Paper Draft v0.2 (expanded) — YOLOv26-RGBT framework</w:t>
      </w:r>
    </w:p>
    <w:p>
      <w:pPr>
        <w:pStyle w:val="Heading1"/>
      </w:pPr>
      <w:r>
        <w:t>Abstract</w:t>
      </w:r>
    </w:p>
    <w:p>
      <w:r>
        <w:t>RGB-Thermal (RGB-T) object detection has emerged as a robust paradigm for safety-critical perception under adverse illumination, leveraging the complementary cues of visible (RGB) images and thermal infrared (T) images. Mid-level feature fusion is a dominant design choice because it balances semantic richness against computational cost. However, existing mid-fusion methods suffer from two persistent limitations: (i) global quality-weighting schemes assign a single scalar weight per modality for the entire image, which is blind to local modality failures such as a dark corner where RGB degrades while thermal remains informative; (ii) attention / transformer-based fusion is expressive but parameter-heavy, unstable to train, and scales poorly with spatial resolution. In this paper we propose DCAF, a Discrepancy-Compensated Adaptive Fusion module that is lightweight, fully local, and operates at channel granularity. DCAF introduces two cooperative mechanisms. First, a local reliability reweighting estimates per-location, per-channel reliability maps for both modalities and fuses them in a reliability-normalized manner, replacing the global scalar. Second, and most importantly, a discrepancy-compensated residual treats the cross-modal difference not as noise but as a complementary signal: a learned local gate injects the difference precisely where the two modalities disagree, recovering information that one modality missed from the other. DCAF contains no softmax, no self/cross attention, and no transformer; it adds only about 0.4M parameters per fusion stage, comparable to global-weighting baselines.</w:t>
      </w:r>
    </w:p>
    <w:p>
      <w:pPr>
        <w:pStyle w:val="Heading1"/>
      </w:pPr>
      <w:r>
        <w:t>1. Introduction</w:t>
      </w:r>
    </w:p>
    <w:p>
      <w:r>
        <w:t>Object detection is a cornerstone of autonomous driving, robotic navigation, and intelligent surveillance. In real-world deployments, visible cameras suffer from degraded contrast under low-light, glare, smoke, and fog, whereas thermal cameras capture long-wave infrared radiation and thus remain informative about warm objects regardless of illumination. The complementary nature of the two modalities motivates RGB-T detection, which has attracted sustained attention with public benchmarks such as FLIR, LLVIP, M3FD, and KAIST.</w:t>
      </w:r>
    </w:p>
    <w:p>
      <w:r>
        <w:t>A central question in RGB-T detection is how to fuse the two modalities. Feature fusion is commonly categorized by stage: early (pixel-level) fusion merges raw images, late (decision-level) fusion combines independent predictions, and mid (feature-level) fusion concatenates or mixes backbone features. Mid-level fusion offers a favorable trade-off: it lets the network learn modality interaction at multiple semantic levels while avoiding the noise sensitivity of early fusion and the weak interaction of late fusion.</w:t>
      </w:r>
    </w:p>
    <w:p>
      <w:r>
        <w:t>Nevertheless, the fusion operator itself is far from solved. We identify four failure modes of prior art. (a) Global quality weighting (e.g., QualityWeightedFusion) predicts one weight per modality over the whole image via global pooling; it cannot react to spatially varying failures. (b) Difference-based methods such as DMAF apply global average pooling to the difference map, destroying the spatial localization that disagreement provides. (c) Edge-based blending (e.g., EdgeBlendFusion) mixes Sobel edges with a fixed coefficient, lacking any reliability modeling. (d) Transformer / cross-attention fusion (e.g., ICAFusion, C2Former, HAFFormer) is powerful but introduces quadratic complexity and training instability.</w:t>
      </w:r>
    </w:p>
    <w:p>
      <w:r>
        <w:t>Our key observation is that cross-modal disagreement is informative rather than merely noisy. When the visible and thermal features diverge sharply at a spatial location, it frequently means one modality carries object evidence that the other has lost: a pedestrian invisible in a dark RGB frame but bright in thermal, or a textured object washed out in thermal but preserved in RGB. We therefore argue that the discrepancy should be explicitly harnessed as a complementary signal.</w:t>
      </w:r>
    </w:p>
    <w:p>
      <w:r>
        <w:t>We propose DCAF, a module that replaces the naive Concat operation at the P3/P4/P5对接 points of a dual-backbone detector. DCAF performs (1) local reliability reweighting that localizes trustworthy channels per location, and (2) a discrepancy-compensated residual that recovers complementary information at disagreement regions. Both are implemented with cheap convolutions.</w:t>
      </w:r>
    </w:p>
    <w:p>
      <w:pPr>
        <w:pStyle w:val="Heading2"/>
      </w:pPr>
      <w:r>
        <w:t>1.1 Contributions</w:t>
      </w:r>
    </w:p>
    <w:p>
      <w:pPr>
        <w:pStyle w:val="ListNumber"/>
      </w:pPr>
      <w:r>
        <w:t>We propose the discrepancy-compensated residual, the first mechanism to explicitly treat the cross-modal difference as a recoverable complementary signal and inject it through a learned local gate at disagreement regions.</w:t>
      </w:r>
    </w:p>
    <w:p>
      <w:pPr>
        <w:pStyle w:val="ListNumber"/>
      </w:pPr>
      <w:r>
        <w:t>We propose local reliability reweighting that estimates per-location, per-channel reliability maps, replacing the global scalar weights of prior quality-weighting methods.</w:t>
      </w:r>
    </w:p>
    <w:p>
      <w:pPr>
        <w:pStyle w:val="ListNumber"/>
      </w:pPr>
      <w:r>
        <w:t>We instantiate DCAF inside a unified, extensible YOLOv26-RGBT framework and conduct a strictly controlled comparison against strong reproduced baselines (DWR, DASI, COI) and the concat baseline.</w:t>
      </w:r>
    </w:p>
    <w:p>
      <w:pPr>
        <w:pStyle w:val="Heading1"/>
      </w:pPr>
      <w:r>
        <w:t>2. Related Work</w:t>
      </w:r>
    </w:p>
    <w:p>
      <w:pPr>
        <w:pStyle w:val="Heading2"/>
      </w:pPr>
      <w:r>
        <w:t>2.1 RGB-T Object Detection</w:t>
      </w:r>
    </w:p>
    <w:p>
      <w:r>
        <w:t>Early RGB-T detectors adapted single-modality detectors by concatenating modalities at the input (early fusion) or at the feature level. With the rise of anchor-free and transformer detectors, mid-level fusion with dedicated fusion modules became prevalent. Datasets such as FLIR (aligned RGB-T pairs for driving scenes), LLVIP (low-light surveillance), M3FD (multi-scenario), and KAIST (the classic benchmark) provide diverse evaluation. Our work builds on the YOLO-family pipeline, extending it to a dual-backbone RGB-T variant.</w:t>
      </w:r>
    </w:p>
    <w:p>
      <w:pPr>
        <w:pStyle w:val="Heading2"/>
      </w:pPr>
      <w:r>
        <w:t>2.2 Feature Fusion for RGB-T</w:t>
      </w:r>
    </w:p>
    <w:p>
      <w:r>
        <w:t>Fusion operators range from simple concatenation and element-wise sum to attention-gated mixing. Concatenation preserves all information but doubles the channel count and leaves interaction to downstream convolutions. Element-wise operations are cheap but assume alignment and equal reliability. Learnable fusion modules aim to model modality interaction explicitly; the challenge is doing so without excessive parameters.</w:t>
      </w:r>
    </w:p>
    <w:p>
      <w:pPr>
        <w:pStyle w:val="Heading2"/>
      </w:pPr>
      <w:r>
        <w:t>2.3 Quality-Aware Fusion</w:t>
      </w:r>
    </w:p>
    <w:p>
      <w:r>
        <w:t>Methods such as QualityWeightedFusion (inspired by EI2Det’s IWM/EFM) estimate a global quality score per modality and blend accordingly. While effective, the global assumption is their bottleneck: a modality can be reliable in one region and unreliable in another within the same image. DCAF removes this assumption by going local and channel-wise.</w:t>
      </w:r>
    </w:p>
    <w:p>
      <w:pPr>
        <w:pStyle w:val="Heading2"/>
      </w:pPr>
      <w:r>
        <w:t>2.4 Attention and Transformer Fusion</w:t>
      </w:r>
    </w:p>
    <w:p>
      <w:r>
        <w:t>ICAFusion, C2Former, and HAFFormer employ cross-attention or deformable attention to let one modality query the other. These achieve strong results but at the cost of heavy computation and sensitive training. DCAF is deliberately designed to avoid attention entirely, trading some global interaction capacity for stability and efficiency.</w:t>
      </w:r>
    </w:p>
    <w:p>
      <w:pPr>
        <w:pStyle w:val="Heading2"/>
      </w:pPr>
      <w:r>
        <w:t>2.5 Discrepancy / Difference-based Fusion</w:t>
      </w:r>
    </w:p>
    <w:p>
      <w:r>
        <w:t>DMAF computes a difference map and uses GAP + tanh cross-weighting; because it pools globally, it loses where the disagreement occurs. DCAF instead keeps the discrepancy at full resolution and learns a spatial gate, which is the crucial distinction.</w:t>
      </w:r>
    </w:p>
    <w:p>
      <w:pPr>
        <w:pStyle w:val="Heading1"/>
      </w:pPr>
      <w:r>
        <w:t>3. Method</w:t>
      </w:r>
    </w:p>
    <w:p>
      <w:pPr>
        <w:pStyle w:val="Heading2"/>
      </w:pPr>
      <w:r>
        <w:t>3.1 Overall Framework</w:t>
      </w:r>
    </w:p>
    <w:p>
      <w:r>
        <w:t>We adopt a dual-backbone architecture. Visible and infrared streams each pass through a backbone; the RGB stream is obtained by slicing channels [0:3] and the thermal stream by slicing [3:4] from a 4-channel RGBT input, so the two branches share the same preprocessing and resolution ladder. At the P3, P4, and P5 stages we replace the default Concat with DCAF, which receives the two modality feature maps and produces a single fused feature of the same channel dimension.</w:t>
      </w:r>
    </w:p>
    <w:p>
      <w:pPr>
        <w:pStyle w:val="Heading2"/>
      </w:pPr>
      <w:r>
        <w:t>3.2 Notations</w:t>
      </w:r>
    </w:p>
    <w:p>
      <w:r>
        <w:t>Let V and I denote the visible and infrared feature maps at a fusion stage, each of shape [B, C, H, W]. DCAF outputs F of the same shape. We first align channels with 1x1 projections when necessary (identity when already equal).</w:t>
      </w:r>
    </w:p>
    <w:p>
      <w:pPr>
        <w:pStyle w:val="Heading2"/>
      </w:pPr>
      <w:r>
        <w:t>3.3 Local Reliability Reweighting</w:t>
      </w:r>
    </w:p>
    <w:p>
      <w:r>
        <w:t>A shared lightweight bottleneck (1x1 convolution -&gt; SiLU -&gt; 1x1 convolution) maps each modality to a reliability map: r_v = sigmoid(Bottleneck(V)), r_i = sigmoid(Bottleneck(I)), both in [0,1]^{BxCxHxW}. Sharing weights between modalities reduces parameters and encourages a consistent reliability criterion. The base fused feature is a reliability-normalized combination:</w:t>
      </w:r>
    </w:p>
    <w:p>
      <w:r>
        <w:t xml:space="preserve">    base = (r_v * V + r_i * I) / (r_v + r_i + eps).</w:t>
      </w:r>
    </w:p>
    <w:p>
      <w:r>
        <w:t>Unlike global scalar weighting, this assigns a distinct confidence to every channel at every spatial position, so a locally unreliable channel is suppressed without harming reliable ones.</w:t>
      </w:r>
    </w:p>
    <w:p>
      <w:pPr>
        <w:pStyle w:val="Heading2"/>
      </w:pPr>
      <w:r>
        <w:t>3.4 Discrepancy-Compensated Residual (Core Innovation)</w:t>
      </w:r>
    </w:p>
    <w:p>
      <w:r>
        <w:t>We define the cross-modal discrepancy delta = V - I. Rather than discarding it as noise, we learn a local gate that is active exactly where the modalities disagree:</w:t>
      </w:r>
    </w:p>
    <w:p>
      <w:r>
        <w:t xml:space="preserve">    g = sigmoid(DepthwiseConv3x3(delta)),   out = proj(base + lambda * g * delta).</w:t>
      </w:r>
    </w:p>
    <w:p>
      <w:r>
        <w:t>Here the depthwise 3x3 convolution captures local spatial context around each disagreement, and the learnable scalar lambda (initialized to 0.1) controls the compensation strength. Intuitively, when RGB and thermal agree (delta small), g is near zero and the output stays close to the reliable base; when they disagree (delta large), g becomes active and the difference term supplements the missing evidence from the other modality. This realizes complementary signal recovery without any attention operation.</w:t>
      </w:r>
    </w:p>
    <w:p>
      <w:pPr>
        <w:pStyle w:val="Heading2"/>
      </w:pPr>
      <w:r>
        <w:t>3.5 Complexity and Efficiency</w:t>
      </w:r>
    </w:p>
    <w:p>
      <w:r>
        <w:t>DCAF consists only of 1x1 bottleneck convolutions, a depthwise 3x3, and a 1x1 output projection; there is no softmax, no query/key/value projection, and no transformer block. In our configuration it introduces roughly 399K parameters per fusion point (about 1.2M in total across the three stages), which is on par with global-weighting baselines and orders of magnitude lighter than transformer fusions.</w:t>
      </w:r>
    </w:p>
    <w:p>
      <w:pPr>
        <w:pStyle w:val="Heading1"/>
      </w:pPr>
      <w:r>
        <w:t>4. Experiments</w:t>
      </w:r>
    </w:p>
    <w:p>
      <w:pPr>
        <w:pStyle w:val="Heading2"/>
      </w:pPr>
      <w:r>
        <w:t>4.1 Datasets</w:t>
      </w:r>
    </w:p>
    <w:p>
      <w:r>
        <w:t>We primarily evaluate on FLIR (nc=3, aligned RGB-T driving scenes, RGBT 4-channel input). To demonstrate generalization we plan multi-dataset validation on LLVIP, M3FD, and KAIST following the same protocol.</w:t>
      </w:r>
    </w:p>
    <w:p>
      <w:pPr>
        <w:pStyle w:val="Heading2"/>
      </w:pPr>
      <w:r>
        <w:t>4.2 Implementation Details</w:t>
      </w:r>
    </w:p>
    <w:p>
      <w:r>
        <w:t>All models use the unified YOLOv26-RGBT dual-backbone framework with image size 640, the yolo26s scale, SGD optimizer, and RGBT 4-channel input. Fusion modules are swapped at P3/P4/P5 under identical training settings for a strictly controlled comparison.</w:t>
      </w:r>
    </w:p>
    <w:p>
      <w:pPr>
        <w:pStyle w:val="Heading2"/>
      </w:pPr>
      <w:r>
        <w:t>4.3 Baselines</w:t>
      </w:r>
    </w:p>
    <w:p>
      <w:r>
        <w:t>We compare against the concat baseline (midfusion), three high-scoring reproduced modules (DWR, DASI, COI), and the efficiency-oriented d-ATAH and ProgressiveAgg. Reproduced numbers are taken from our large-scale benchmark on FLIR (yolo26s, 100/150 epochs, imgsz 640).</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Module</w:t>
            </w:r>
          </w:p>
        </w:tc>
        <w:tc>
          <w:tcPr>
            <w:tcW w:type="dxa" w:w="1234"/>
          </w:tcPr>
          <w:p>
            <w:r>
              <w:t>mAP50</w:t>
            </w:r>
          </w:p>
        </w:tc>
        <w:tc>
          <w:tcPr>
            <w:tcW w:type="dxa" w:w="1234"/>
          </w:tcPr>
          <w:p>
            <w:r>
              <w:t>mAP50-95</w:t>
            </w:r>
          </w:p>
        </w:tc>
        <w:tc>
          <w:tcPr>
            <w:tcW w:type="dxa" w:w="1234"/>
          </w:tcPr>
          <w:p>
            <w:r>
              <w:t>FLOPs(G)</w:t>
            </w:r>
          </w:p>
        </w:tc>
        <w:tc>
          <w:tcPr>
            <w:tcW w:type="dxa" w:w="1234"/>
          </w:tcPr>
          <w:p>
            <w:r>
              <w:t>Params(M)</w:t>
            </w:r>
          </w:p>
        </w:tc>
        <w:tc>
          <w:tcPr>
            <w:tcW w:type="dxa" w:w="1234"/>
          </w:tcPr>
          <w:p>
            <w:r>
              <w:t>FPS</w:t>
            </w:r>
          </w:p>
        </w:tc>
        <w:tc>
          <w:tcPr>
            <w:tcW w:type="dxa" w:w="1234"/>
          </w:tcPr>
          <w:p>
            <w:r>
              <w:t>Type</w:t>
            </w:r>
          </w:p>
        </w:tc>
      </w:tr>
      <w:tr>
        <w:tc>
          <w:tcPr>
            <w:tcW w:type="dxa" w:w="1234"/>
          </w:tcPr>
          <w:p>
            <w:r>
              <w:t>midfusion (base)</w:t>
            </w:r>
          </w:p>
        </w:tc>
        <w:tc>
          <w:tcPr>
            <w:tcW w:type="dxa" w:w="1234"/>
          </w:tcPr>
          <w:p>
            <w:r>
              <w:t>0.8518</w:t>
            </w:r>
          </w:p>
        </w:tc>
        <w:tc>
          <w:tcPr>
            <w:tcW w:type="dxa" w:w="1234"/>
          </w:tcPr>
          <w:p>
            <w:r>
              <w:t>0.4920</w:t>
            </w:r>
          </w:p>
        </w:tc>
        <w:tc>
          <w:tcPr>
            <w:tcW w:type="dxa" w:w="1234"/>
          </w:tcPr>
          <w:p>
            <w:r>
              <w:t>34.41</w:t>
            </w:r>
          </w:p>
        </w:tc>
        <w:tc>
          <w:tcPr>
            <w:tcW w:type="dxa" w:w="1234"/>
          </w:tcPr>
          <w:p>
            <w:r>
              <w:t>15.24</w:t>
            </w:r>
          </w:p>
        </w:tc>
        <w:tc>
          <w:tcPr>
            <w:tcW w:type="dxa" w:w="1234"/>
          </w:tcPr>
          <w:p>
            <w:r>
              <w:t>80.58</w:t>
            </w:r>
          </w:p>
        </w:tc>
        <w:tc>
          <w:tcPr>
            <w:tcW w:type="dxa" w:w="1234"/>
          </w:tcPr>
          <w:p>
            <w:r>
              <w:t>concat</w:t>
            </w:r>
          </w:p>
        </w:tc>
      </w:tr>
      <w:tr>
        <w:tc>
          <w:tcPr>
            <w:tcW w:type="dxa" w:w="1234"/>
          </w:tcPr>
          <w:p>
            <w:r>
              <w:t>d-ATAH</w:t>
            </w:r>
          </w:p>
        </w:tc>
        <w:tc>
          <w:tcPr>
            <w:tcW w:type="dxa" w:w="1234"/>
          </w:tcPr>
          <w:p>
            <w:r>
              <w:t>0.8615</w:t>
            </w:r>
          </w:p>
        </w:tc>
        <w:tc>
          <w:tcPr>
            <w:tcW w:type="dxa" w:w="1234"/>
          </w:tcPr>
          <w:p>
            <w:r>
              <w:t>0.4997</w:t>
            </w:r>
          </w:p>
        </w:tc>
        <w:tc>
          <w:tcPr>
            <w:tcW w:type="dxa" w:w="1234"/>
          </w:tcPr>
          <w:p>
            <w:r>
              <w:t>41.88</w:t>
            </w:r>
          </w:p>
        </w:tc>
        <w:tc>
          <w:tcPr>
            <w:tcW w:type="dxa" w:w="1234"/>
          </w:tcPr>
          <w:p>
            <w:r>
              <w:t>15.33</w:t>
            </w:r>
          </w:p>
        </w:tc>
        <w:tc>
          <w:tcPr>
            <w:tcW w:type="dxa" w:w="1234"/>
          </w:tcPr>
          <w:p>
            <w:r>
              <w:t>42.26</w:t>
            </w:r>
          </w:p>
        </w:tc>
        <w:tc>
          <w:tcPr>
            <w:tcW w:type="dxa" w:w="1234"/>
          </w:tcPr>
          <w:p>
            <w:r>
              <w:t>repro. efficient</w:t>
            </w:r>
          </w:p>
        </w:tc>
      </w:tr>
      <w:tr>
        <w:tc>
          <w:tcPr>
            <w:tcW w:type="dxa" w:w="1234"/>
          </w:tcPr>
          <w:p>
            <w:r>
              <w:t>ProgressiveAgg</w:t>
            </w:r>
          </w:p>
        </w:tc>
        <w:tc>
          <w:tcPr>
            <w:tcW w:type="dxa" w:w="1234"/>
          </w:tcPr>
          <w:p>
            <w:r>
              <w:t>0.8654</w:t>
            </w:r>
          </w:p>
        </w:tc>
        <w:tc>
          <w:tcPr>
            <w:tcW w:type="dxa" w:w="1234"/>
          </w:tcPr>
          <w:p>
            <w:r>
              <w:t>0.4998</w:t>
            </w:r>
          </w:p>
        </w:tc>
        <w:tc>
          <w:tcPr>
            <w:tcW w:type="dxa" w:w="1234"/>
          </w:tcPr>
          <w:p>
            <w:r>
              <w:t>42.64</w:t>
            </w:r>
          </w:p>
        </w:tc>
        <w:tc>
          <w:tcPr>
            <w:tcW w:type="dxa" w:w="1234"/>
          </w:tcPr>
          <w:p>
            <w:r>
              <w:t>16.43</w:t>
            </w:r>
          </w:p>
        </w:tc>
        <w:tc>
          <w:tcPr>
            <w:tcW w:type="dxa" w:w="1234"/>
          </w:tcPr>
          <w:p>
            <w:r>
              <w:t>90.30</w:t>
            </w:r>
          </w:p>
        </w:tc>
        <w:tc>
          <w:tcPr>
            <w:tcW w:type="dxa" w:w="1234"/>
          </w:tcPr>
          <w:p>
            <w:r>
              <w:t>repro. efficient</w:t>
            </w:r>
          </w:p>
        </w:tc>
      </w:tr>
      <w:tr>
        <w:tc>
          <w:tcPr>
            <w:tcW w:type="dxa" w:w="1234"/>
          </w:tcPr>
          <w:p>
            <w:r>
              <w:t>COI (HVPNet)</w:t>
            </w:r>
          </w:p>
        </w:tc>
        <w:tc>
          <w:tcPr>
            <w:tcW w:type="dxa" w:w="1234"/>
          </w:tcPr>
          <w:p>
            <w:r>
              <w:t>0.8799</w:t>
            </w:r>
          </w:p>
        </w:tc>
        <w:tc>
          <w:tcPr>
            <w:tcW w:type="dxa" w:w="1234"/>
          </w:tcPr>
          <w:p>
            <w:r>
              <w:t>0.5216</w:t>
            </w:r>
          </w:p>
        </w:tc>
        <w:tc>
          <w:tcPr>
            <w:tcW w:type="dxa" w:w="1234"/>
          </w:tcPr>
          <w:p>
            <w:r>
              <w:t>108.96</w:t>
            </w:r>
          </w:p>
        </w:tc>
        <w:tc>
          <w:tcPr>
            <w:tcW w:type="dxa" w:w="1234"/>
          </w:tcPr>
          <w:p>
            <w:r>
              <w:t>14.96</w:t>
            </w:r>
          </w:p>
        </w:tc>
        <w:tc>
          <w:tcPr>
            <w:tcW w:type="dxa" w:w="1234"/>
          </w:tcPr>
          <w:p>
            <w:r>
              <w:t>29.14</w:t>
            </w:r>
          </w:p>
        </w:tc>
        <w:tc>
          <w:tcPr>
            <w:tcW w:type="dxa" w:w="1234"/>
          </w:tcPr>
          <w:p>
            <w:r>
              <w:t>repro. top-3</w:t>
            </w:r>
          </w:p>
        </w:tc>
      </w:tr>
      <w:tr>
        <w:tc>
          <w:tcPr>
            <w:tcW w:type="dxa" w:w="1234"/>
          </w:tcPr>
          <w:p>
            <w:r>
              <w:t>DASI</w:t>
            </w:r>
          </w:p>
        </w:tc>
        <w:tc>
          <w:tcPr>
            <w:tcW w:type="dxa" w:w="1234"/>
          </w:tcPr>
          <w:p>
            <w:r>
              <w:t>0.8860</w:t>
            </w:r>
          </w:p>
        </w:tc>
        <w:tc>
          <w:tcPr>
            <w:tcW w:type="dxa" w:w="1234"/>
          </w:tcPr>
          <w:p>
            <w:r>
              <w:t>0.5232</w:t>
            </w:r>
          </w:p>
        </w:tc>
        <w:tc>
          <w:tcPr>
            <w:tcW w:type="dxa" w:w="1234"/>
          </w:tcPr>
          <w:p>
            <w:r>
              <w:t>142.46</w:t>
            </w:r>
          </w:p>
        </w:tc>
        <w:tc>
          <w:tcPr>
            <w:tcW w:type="dxa" w:w="1234"/>
          </w:tcPr>
          <w:p>
            <w:r>
              <w:t>15.57</w:t>
            </w:r>
          </w:p>
        </w:tc>
        <w:tc>
          <w:tcPr>
            <w:tcW w:type="dxa" w:w="1234"/>
          </w:tcPr>
          <w:p>
            <w:r>
              <w:t>23.66</w:t>
            </w:r>
          </w:p>
        </w:tc>
        <w:tc>
          <w:tcPr>
            <w:tcW w:type="dxa" w:w="1234"/>
          </w:tcPr>
          <w:p>
            <w:r>
              <w:t>repro. top-3</w:t>
            </w:r>
          </w:p>
        </w:tc>
      </w:tr>
      <w:tr>
        <w:tc>
          <w:tcPr>
            <w:tcW w:type="dxa" w:w="1234"/>
          </w:tcPr>
          <w:p>
            <w:r>
              <w:t>DWR</w:t>
            </w:r>
          </w:p>
        </w:tc>
        <w:tc>
          <w:tcPr>
            <w:tcW w:type="dxa" w:w="1234"/>
          </w:tcPr>
          <w:p>
            <w:r>
              <w:t>0.8830</w:t>
            </w:r>
          </w:p>
        </w:tc>
        <w:tc>
          <w:tcPr>
            <w:tcW w:type="dxa" w:w="1234"/>
          </w:tcPr>
          <w:p>
            <w:r>
              <w:t>0.5262</w:t>
            </w:r>
          </w:p>
        </w:tc>
        <w:tc>
          <w:tcPr>
            <w:tcW w:type="dxa" w:w="1234"/>
          </w:tcPr>
          <w:p>
            <w:r>
              <w:t>158.61</w:t>
            </w:r>
          </w:p>
        </w:tc>
        <w:tc>
          <w:tcPr>
            <w:tcW w:type="dxa" w:w="1234"/>
          </w:tcPr>
          <w:p>
            <w:r>
              <w:t>15.26</w:t>
            </w:r>
          </w:p>
        </w:tc>
        <w:tc>
          <w:tcPr>
            <w:tcW w:type="dxa" w:w="1234"/>
          </w:tcPr>
          <w:p>
            <w:r>
              <w:t>19.44</w:t>
            </w:r>
          </w:p>
        </w:tc>
        <w:tc>
          <w:tcPr>
            <w:tcW w:type="dxa" w:w="1234"/>
          </w:tcPr>
          <w:p>
            <w:r>
              <w:t>repro. top-3</w:t>
            </w:r>
          </w:p>
        </w:tc>
      </w:tr>
      <w:tr>
        <w:tc>
          <w:tcPr>
            <w:tcW w:type="dxa" w:w="1234"/>
          </w:tcPr>
          <w:p>
            <w:r>
              <w:t>DCAF (ours)</w:t>
            </w:r>
          </w:p>
        </w:tc>
        <w:tc>
          <w:tcPr>
            <w:tcW w:type="dxa" w:w="1234"/>
          </w:tcPr>
          <w:p>
            <w:r>
              <w:t>—</w:t>
            </w:r>
          </w:p>
        </w:tc>
        <w:tc>
          <w:tcPr>
            <w:tcW w:type="dxa" w:w="1234"/>
          </w:tcPr>
          <w:p>
            <w:r>
              <w:t>TBD</w:t>
            </w:r>
          </w:p>
        </w:tc>
        <w:tc>
          <w:tcPr>
            <w:tcW w:type="dxa" w:w="1234"/>
          </w:tcPr>
          <w:p>
            <w:r>
              <w:t>~38*</w:t>
            </w:r>
          </w:p>
        </w:tc>
        <w:tc>
          <w:tcPr>
            <w:tcW w:type="dxa" w:w="1234"/>
          </w:tcPr>
          <w:p>
            <w:r>
              <w:t>~15.6*</w:t>
            </w:r>
          </w:p>
        </w:tc>
        <w:tc>
          <w:tcPr>
            <w:tcW w:type="dxa" w:w="1234"/>
          </w:tcPr>
          <w:p>
            <w:r>
              <w:t>TBD</w:t>
            </w:r>
          </w:p>
        </w:tc>
        <w:tc>
          <w:tcPr>
            <w:tcW w:type="dxa" w:w="1234"/>
          </w:tcPr>
          <w:p>
            <w:r>
              <w:t>proposed (*est.)</w:t>
            </w:r>
          </w:p>
        </w:tc>
      </w:tr>
    </w:tbl>
    <w:p>
      <w:pPr>
        <w:pStyle w:val="Heading2"/>
      </w:pPr>
      <w:r>
        <w:t>4.4 Quantitative Results and Analysis</w:t>
      </w:r>
    </w:p>
    <w:p>
      <w:r>
        <w:t>The reproduced top-3 modules (DWR 0.5262, DASI 0.5232, COI 0.5216) define the accuracy ceiling of existing designs, but at 109–159 GFLOPs and 19–29 FPS. The concat baseline is far more efficient (34.4 GFLOPs, 80.6 FPS) yet loses ~3.4 mAP50-95 points. DCAF is designed to close this gap: by exploiting local reliability and complementary discrepancy it targets the accuracy of the top tier at a compute budget close to the efficient regime. Final DCAF numbers will be reported after training on FLIR and the multi-dataset suite.</w:t>
      </w:r>
    </w:p>
    <w:p>
      <w:pPr>
        <w:pStyle w:val="Heading2"/>
      </w:pPr>
      <w:r>
        <w:t>4.5 Ablation Study (Planned)</w:t>
      </w:r>
    </w:p>
    <w:p>
      <w:r>
        <w:t>We will ablate (i) base only (reliability reweighting without residual), (ii) residual only (fixed reliability), and (iii) full DCAF, to isolate the contribution of each component. We also study the sensitivity of the learnable lambda. Quantitative tables will be inserted here.</w:t>
      </w:r>
    </w:p>
    <w:p>
      <w:pPr>
        <w:pStyle w:val="Heading2"/>
      </w:pPr>
      <w:r>
        <w:t>4.6 Qualitative Analysis</w:t>
      </w:r>
    </w:p>
    <w:p>
      <w:r>
        <w:t>We will visualize the reliability maps r_v, r_i and the discrepancy gate g to show that DCAF activates compensation precisely at regions where one modality fails (e.g., dark objects, thermal crossover), providing intuitive evidence for the mechanism.</w:t>
      </w:r>
    </w:p>
    <w:p>
      <w:pPr>
        <w:pStyle w:val="Heading1"/>
      </w:pPr>
      <w:r>
        <w:t>5. Discussion</w:t>
      </w:r>
    </w:p>
    <w:p>
      <w:r>
        <w:t>Limitations. DCAF assumes the two branches are spatially aligned, which holds for the paired RGB-T datasets used. Under severe misalignment a preprocessing registration step would be required. The residual strength lambda is learned globally; a spatially dynamic lambda is a possible future extension. Broader impact. Reliable RGB-T detection improves night-time and adverse-weather safety; we note potential dual-use in surveillance and recommend responsible deployment.</w:t>
      </w:r>
    </w:p>
    <w:p>
      <w:pPr>
        <w:pStyle w:val="Heading1"/>
      </w:pPr>
      <w:r>
        <w:t>6. Conclusion</w:t>
      </w:r>
    </w:p>
    <w:p>
      <w:r>
        <w:t>We presented DCAF, a lightweight, local, and complementary RGB-T fusion module. By combining local reliability reweighting with a discrepancy-compensated residual, DCAF recovers complementary signals at modality-disagreement regions without attention or transformers. Extensive benchmark comparisons will validate its accuracy-efficiency trade-off.</w:t>
      </w:r>
    </w:p>
    <w:p>
      <w:pPr>
        <w:pStyle w:val="Heading1"/>
      </w:pPr>
      <w:r>
        <w:t>References</w:t>
      </w:r>
    </w:p>
    <w:p>
      <w:pPr>
        <w:pStyle w:val="ListBullet"/>
      </w:pPr>
      <w:r>
        <w:t>[1] QualityWeightedFusion / EI2Det (global quality weighting).</w:t>
      </w:r>
    </w:p>
    <w:p>
      <w:pPr>
        <w:pStyle w:val="ListBullet"/>
      </w:pPr>
      <w:r>
        <w:t>[2] DMAF (difference map + global pooling).</w:t>
      </w:r>
    </w:p>
    <w:p>
      <w:pPr>
        <w:pStyle w:val="ListBullet"/>
      </w:pPr>
      <w:r>
        <w:t>[3] ICAFusion (iterative cross-attention transformer fusion).</w:t>
      </w:r>
    </w:p>
    <w:p>
      <w:pPr>
        <w:pStyle w:val="ListBullet"/>
      </w:pPr>
      <w:r>
        <w:t>[4] C2Former (deformable cross-modal attention).</w:t>
      </w:r>
    </w:p>
    <w:p>
      <w:pPr>
        <w:pStyle w:val="ListBullet"/>
      </w:pPr>
      <w:r>
        <w:t>[5] HAFFormer (hierarchical attention fusion transformer).</w:t>
      </w:r>
    </w:p>
    <w:p>
      <w:pPr>
        <w:pStyle w:val="ListBullet"/>
      </w:pPr>
      <w:r>
        <w:t>[6] HVPNet (source of COI).</w:t>
      </w:r>
    </w:p>
    <w:p>
      <w:pPr>
        <w:pStyle w:val="ListBullet"/>
      </w:pPr>
      <w:r>
        <w:t>[7] DWR / DASI original works (ADD EXACT CITATIONS).</w:t>
      </w:r>
    </w:p>
    <w:p>
      <w:pPr>
        <w:pStyle w:val="ListBullet"/>
      </w:pPr>
      <w:r>
        <w:t>[8] FLIR / LLVIP / M3FD / KAIST datasets.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