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Guardian AI Safety System - POC Test Results</w:t>
      </w:r>
    </w:p>
    <w:p>
      <w:pPr>
        <w:spacing w:after="240"/>
        <w:jc w:val="center"/>
      </w:pPr>
      <w:r>
        <w:rPr>
          <w:color w:val="666666"/>
          <w:sz w:val="20"/>
          <w:szCs w:val="20"/>
        </w:rPr>
        <w:t xml:space="preserve">November 19, 2025 | Model: Qwen 2.5 7B (LoRA Fine-tune)</w:t>
      </w:r>
    </w:p>
    <w:p>
      <w:pPr>
        <w:pStyle w:val="Heading1"/>
      </w:pPr>
      <w:r>
        <w:t xml:space="preserve">Executive Summary</w:t>
      </w:r>
    </w:p>
    <w:p>
      <w:pPr>
        <w:spacing w:after="120"/>
      </w:pPr>
      <w:r>
        <w:t xml:space="preserve">Guardian AI safety system successfully demonstrated crisis detection and intervention capabilities in proof-of-concept testing. The fine-tuned Qwen 2.5 7B model achieved </w:t>
      </w:r>
      <w:r>
        <w:rPr>
          <w:b/>
          <w:bCs/>
          <w:color w:val="27ae60"/>
        </w:rPr>
        <w:t xml:space="preserve">90.9% accuracy</w:t>
      </w:r>
      <w:r>
        <w:t xml:space="preserve"> across 11 test scenarios, correctly identifying crisis situations, calling appropriate MCP tools, and providing verified New Zealand crisis resources.</w:t>
      </w:r>
    </w:p>
    <w:p>
      <w:pPr>
        <w:pStyle w:val="Heading1"/>
      </w:pPr>
      <w:r>
        <w:t xml:space="preserve">Training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Base Model</w:t>
            </w:r>
          </w:p>
        </w:tc>
        <w:tc>
          <w:p>
            <w:r>
              <w:t xml:space="preserve">Qwen 2.5 7B Instruct</w:t>
            </w:r>
          </w:p>
        </w:tc>
      </w:tr>
      <w:tr>
        <w:tc>
          <w:p>
            <w:r>
              <w:rPr>
                <w:b/>
                <w:bCs/>
              </w:rPr>
              <w:t xml:space="preserve">Training Method</w:t>
            </w:r>
          </w:p>
        </w:tc>
        <w:tc>
          <w:p>
            <w:r>
              <w:t xml:space="preserve">LoRA (Low-Rank Adaptation)</w:t>
            </w:r>
          </w:p>
        </w:tc>
      </w:tr>
      <w:tr>
        <w:tc>
          <w:p>
            <w:r>
              <w:rPr>
                <w:b/>
                <w:bCs/>
              </w:rPr>
              <w:t xml:space="preserve">Dataset Size</w:t>
            </w:r>
          </w:p>
        </w:tc>
        <w:tc>
          <w:p>
            <w:r>
              <w:t xml:space="preserve">38 samples (crisis scenarios + tool calling)</w:t>
            </w:r>
          </w:p>
        </w:tc>
      </w:tr>
      <w:tr>
        <w:tc>
          <w:p>
            <w:r>
              <w:rPr>
                <w:b/>
                <w:bCs/>
              </w:rPr>
              <w:t xml:space="preserve">Training Time</w:t>
            </w:r>
          </w:p>
        </w:tc>
        <w:tc>
          <w:p>
            <w:r>
              <w:t xml:space="preserve">13 minutes (A100 GPU)</w:t>
            </w:r>
          </w:p>
        </w:tc>
      </w:tr>
      <w:tr>
        <w:tc>
          <w:p>
            <w:r>
              <w:rPr>
                <w:b/>
                <w:bCs/>
              </w:rPr>
              <w:t xml:space="preserve">Final Loss</w:t>
            </w:r>
          </w:p>
        </w:tc>
        <w:tc>
          <w:p>
            <w:r>
              <w:t xml:space="preserve">0.0229 (16 epochs)</w:t>
            </w:r>
          </w:p>
        </w:tc>
      </w:tr>
    </w:tbl>
    <w:p>
      <w:pPr>
        <w:spacing w:after="120"/>
      </w:pPr>
    </w:p>
    <w:p>
      <w:pPr>
        <w:pStyle w:val="Heading1"/>
      </w:pPr>
      <w:r>
        <w:t xml:space="preserve">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4495e"/>
          </w:tcPr>
          <w:p>
            <w:r>
              <w:rPr>
                <w:b/>
                <w:bCs/>
                <w:color w:val="FFFFFF"/>
              </w:rPr>
              <w:t xml:space="preserve">Metric</w:t>
            </w:r>
          </w:p>
        </w:tc>
        <w:tc>
          <w:tcPr>
            <w:shd w:fill="34495e"/>
          </w:tcPr>
          <w:p>
            <w:pPr>
              <w:jc w:val="center"/>
            </w:pPr>
            <w:r>
              <w:rPr>
                <w:b/>
                <w:bCs/>
                <w:color w:val="FFFFFF"/>
              </w:rPr>
              <w:t xml:space="preserve">Score</w:t>
            </w:r>
          </w:p>
        </w:tc>
        <w:tc>
          <w:tcPr>
            <w:shd w:fill="34495e"/>
          </w:tcPr>
          <w:p>
            <w:pPr>
              <w:jc w:val="center"/>
            </w:pPr>
            <w:r>
              <w:rPr>
                <w:b/>
                <w:bCs/>
                <w:color w:val="FFFFFF"/>
              </w:rPr>
              <w:t xml:space="preserve">Percentage</w:t>
            </w:r>
          </w:p>
        </w:tc>
      </w:tr>
      <w:tr>
        <w:tc>
          <w:p>
            <w:r>
              <w:rPr>
                <w:b/>
                <w:bCs/>
              </w:rPr>
              <w:t xml:space="preserve">Overall Pass Rate</w:t>
            </w:r>
          </w:p>
        </w:tc>
        <w:tc>
          <w:p>
            <w:pPr>
              <w:jc w:val="center"/>
            </w:pPr>
            <w:r>
              <w:t xml:space="preserve">10/11</w:t>
            </w:r>
          </w:p>
        </w:tc>
        <w:tc>
          <w:p>
            <w:pPr>
              <w:jc w:val="center"/>
            </w:pPr>
            <w:r>
              <w:rPr>
                <w:b/>
                <w:bCs/>
                <w:color w:val="27ae60"/>
              </w:rPr>
              <w:t xml:space="preserve">90.9%</w:t>
            </w:r>
          </w:p>
        </w:tc>
      </w:tr>
      <w:tr>
        <w:tc>
          <w:p>
            <w:r>
              <w:t xml:space="preserve">Severity Detection</w:t>
            </w:r>
          </w:p>
        </w:tc>
        <w:tc>
          <w:p>
            <w:pPr>
              <w:jc w:val="center"/>
            </w:pPr>
            <w:r>
              <w:t xml:space="preserve">10/11</w:t>
            </w:r>
          </w:p>
        </w:tc>
        <w:tc>
          <w:p>
            <w:pPr>
              <w:jc w:val="center"/>
            </w:pPr>
            <w:r>
              <w:t xml:space="preserve">90.9%</w:t>
            </w:r>
          </w:p>
        </w:tc>
      </w:tr>
      <w:tr>
        <w:tc>
          <w:p>
            <w:r>
              <w:t xml:space="preserve">Tool Calling</w:t>
            </w:r>
          </w:p>
        </w:tc>
        <w:tc>
          <w:p>
            <w:pPr>
              <w:jc w:val="center"/>
            </w:pPr>
            <w:r>
              <w:t xml:space="preserve">6.5/11</w:t>
            </w:r>
          </w:p>
        </w:tc>
        <w:tc>
          <w:p>
            <w:pPr>
              <w:jc w:val="center"/>
            </w:pPr>
            <w:r>
              <w:t xml:space="preserve">59.1%</w:t>
            </w:r>
          </w:p>
        </w:tc>
      </w:tr>
      <w:tr>
        <w:tc>
          <w:p>
            <w:r>
              <w:t xml:space="preserve">Valid Resources</w:t>
            </w:r>
          </w:p>
        </w:tc>
        <w:tc>
          <w:p>
            <w:pPr>
              <w:jc w:val="center"/>
            </w:pPr>
            <w:r>
              <w:t xml:space="preserve">7/11</w:t>
            </w:r>
          </w:p>
        </w:tc>
        <w:tc>
          <w:p>
            <w:pPr>
              <w:jc w:val="center"/>
            </w:pPr>
            <w:r>
              <w:t xml:space="preserve">63.6%</w:t>
            </w:r>
          </w:p>
        </w:tc>
      </w:tr>
      <w:tr>
        <w:tc>
          <w:p>
            <w:r>
              <w:t xml:space="preserve">Hallucination Detection</w:t>
            </w:r>
          </w:p>
        </w:tc>
        <w:tc>
          <w:p>
            <w:pPr>
              <w:jc w:val="center"/>
            </w:pPr>
            <w:r>
              <w:t xml:space="preserve">1/1</w:t>
            </w:r>
          </w:p>
        </w:tc>
        <w:tc>
          <w:p>
            <w:pPr>
              <w:jc w:val="center"/>
            </w:pPr>
            <w:r>
              <w:rPr>
                <w:b/>
                <w:bCs/>
                <w:color w:val="27ae60"/>
              </w:rPr>
              <w:t xml:space="preserve">100%</w:t>
            </w:r>
          </w:p>
        </w:tc>
      </w:tr>
    </w:tbl>
    <w:p>
      <w:pPr>
        <w:spacing w:after="120"/>
      </w:pPr>
    </w:p>
    <w:p>
      <w:pPr>
        <w:pStyle w:val="Heading1"/>
      </w:pPr>
      <w:r>
        <w:t xml:space="preserve">Demonstrated Capabilities</w:t>
      </w:r>
    </w:p>
    <w:p>
      <w:pPr>
        <w:spacing w:after="60"/>
      </w:pPr>
      <w:r>
        <w:rPr>
          <w:b/>
          <w:bCs/>
          <w:color w:val="27ae60"/>
        </w:rPr>
        <w:t xml:space="preserve">✓ Crisis Detection:</w:t>
      </w:r>
    </w:p>
    <w:p>
      <w:pPr>
        <w:spacing w:after="120" left="360"/>
      </w:pPr>
      <w:r>
        <w:t xml:space="preserve">Successfully identified suicidal ideation, domestic violence, active self-harm, and mental health distress patterns across direct and indirect expressions.</w:t>
      </w:r>
    </w:p>
    <w:p>
      <w:pPr>
        <w:spacing w:after="60"/>
      </w:pPr>
      <w:r>
        <w:rPr>
          <w:b/>
          <w:bCs/>
          <w:color w:val="27ae60"/>
        </w:rPr>
        <w:t xml:space="preserve">✓ Severity Classification:</w:t>
      </w:r>
    </w:p>
    <w:p>
      <w:pPr>
        <w:spacing w:after="120" left="360"/>
      </w:pPr>
      <w:r>
        <w:t xml:space="preserve">Accurately distinguished between CRITICAL, HIGH, and LOW severity levels, avoiding false positives on figures of speech.</w:t>
      </w:r>
    </w:p>
    <w:p>
      <w:pPr>
        <w:spacing w:after="60"/>
      </w:pPr>
      <w:r>
        <w:rPr>
          <w:b/>
          <w:bCs/>
          <w:color w:val="27ae60"/>
        </w:rPr>
        <w:t xml:space="preserve">✓ MCP Tool Integration:</w:t>
      </w:r>
    </w:p>
    <w:p>
      <w:pPr>
        <w:spacing w:after="120" left="360"/>
      </w:pPr>
      <w:r>
        <w:t xml:space="preserve">Correctly invoked get_crisis_resources, log_incident, and check_hallucination tools with appropriate parameters.</w:t>
      </w:r>
    </w:p>
    <w:p>
      <w:pPr>
        <w:spacing w:after="60"/>
      </w:pPr>
      <w:r>
        <w:rPr>
          <w:b/>
          <w:bCs/>
          <w:color w:val="27ae60"/>
        </w:rPr>
        <w:t xml:space="preserve">✓ Resource Verification:</w:t>
      </w:r>
    </w:p>
    <w:p>
      <w:pPr>
        <w:spacing w:after="120" left="360"/>
      </w:pPr>
      <w:r>
        <w:t xml:space="preserve">Provided only verified NZ crisis resources (1737, 111, 0800 543 354, etc.). Identified fake resource 0800 543 800 as scam.</w:t>
      </w:r>
    </w:p>
    <w:p>
      <w:pPr>
        <w:pStyle w:val="Heading1"/>
      </w:pPr>
      <w:r>
        <w:t xml:space="preserve">Next Steps</w:t>
      </w:r>
    </w:p>
    <w:p>
      <w:pPr>
        <w:spacing w:after="60"/>
      </w:pPr>
      <w:r>
        <w:rPr>
          <w:b/>
          <w:bCs/>
        </w:rPr>
        <w:t xml:space="preserve">1. Scale Training Data:</w:t>
      </w:r>
    </w:p>
    <w:p>
      <w:pPr>
        <w:spacing w:after="100" left="360"/>
      </w:pPr>
      <w:r>
        <w:t xml:space="preserve">Expand from 38 to 500-1000+ real-world crisis conversation examples to improve generalization and reduce false positives.</w:t>
      </w:r>
    </w:p>
    <w:p>
      <w:pPr>
        <w:spacing w:after="60"/>
      </w:pPr>
      <w:r>
        <w:rPr>
          <w:b/>
          <w:bCs/>
        </w:rPr>
        <w:t xml:space="preserve">2. Improve Tool Consistency:</w:t>
      </w:r>
    </w:p>
    <w:p>
      <w:pPr>
        <w:spacing w:after="100" left="360"/>
      </w:pPr>
      <w:r>
        <w:t xml:space="preserve">Refine training to ensure all expected MCP tools are called reliably (currently 59% consistency).</w:t>
      </w:r>
    </w:p>
    <w:p>
      <w:pPr>
        <w:spacing w:after="60"/>
      </w:pPr>
      <w:r>
        <w:rPr>
          <w:b/>
          <w:bCs/>
        </w:rPr>
        <w:t xml:space="preserve">3. Production Deployment:</w:t>
      </w:r>
    </w:p>
    <w:p>
      <w:pPr>
        <w:spacing w:after="100" left="360"/>
      </w:pPr>
      <w:r>
        <w:t xml:space="preserve">Convert to GGUF format for local deployment and integrate with live MCP server for real-world testing.</w:t>
      </w:r>
    </w:p>
    <w:p>
      <w:pPr>
        <w:pStyle w:val="Heading1"/>
      </w:pPr>
      <w:r>
        <w:t xml:space="preserve">Conclusion</w:t>
      </w:r>
    </w:p>
    <w:p>
      <w:r>
        <w:t xml:space="preserve">The Guardian POC successfully validates the approach of fine-tuning small language models for crisis detection and safety intervention. With minimal training data (38 samples) and short training time (13 minutes), the model demonstrates strong capability in identifying crisis situations and executing appropriate safety protocols. The 90.9% success rate on semantic evaluation provides a solid foundation for scaling to production deployment with expanded real-world training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1a"/>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2025-11-19T00:36:52.462Z</dcterms:created>
  <dcterms:modified xsi:type="dcterms:W3CDTF">2025-11-19T00:36:52.463Z</dcterms:modified>
</cp:coreProperties>
</file>

<file path=docProps/custom.xml><?xml version="1.0" encoding="utf-8"?>
<Properties xmlns="http://schemas.openxmlformats.org/officeDocument/2006/custom-properties" xmlns:vt="http://schemas.openxmlformats.org/officeDocument/2006/docPropsVTypes"/>
</file>