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5A68A">
      <w:pPr>
        <w:pStyle w:val="3"/>
        <w:bidi w:val="0"/>
        <w:jc w:val="center"/>
        <w:rPr>
          <w:rFonts w:hint="eastAsia"/>
          <w:lang w:val="en-US" w:eastAsia="zh-CN"/>
        </w:rPr>
      </w:pPr>
      <w:r>
        <w:rPr>
          <w:rFonts w:hint="default"/>
        </w:rPr>
        <w:t>医疗影像信息管理与AI推理诊断系统测试</w:t>
      </w:r>
      <w:r>
        <w:rPr>
          <w:rFonts w:hint="eastAsia"/>
          <w:lang w:val="en-US" w:eastAsia="zh-CN"/>
        </w:rPr>
        <w:t>计划</w:t>
      </w:r>
    </w:p>
    <w:p w14:paraId="49474995">
      <w:pPr>
        <w:pStyle w:val="3"/>
        <w:bidi w:val="0"/>
        <w:jc w:val="both"/>
        <w:rPr>
          <w:rFonts w:hint="default" w:ascii="宋体" w:hAnsi="宋体" w:eastAsia="宋体" w:cs="宋体"/>
          <w:b/>
          <w:bCs w:val="0"/>
          <w:color w:val="1F1F1F"/>
          <w:kern w:val="0"/>
          <w:sz w:val="24"/>
          <w:szCs w:val="24"/>
          <w:lang w:val="en-US" w:eastAsia="zh-CN" w:bidi="ar"/>
        </w:rPr>
      </w:pPr>
      <w:r>
        <w:rPr>
          <w:rFonts w:hint="eastAsia" w:ascii="宋体" w:hAnsi="宋体" w:eastAsia="宋体" w:cs="宋体"/>
          <w:b/>
          <w:bCs w:val="0"/>
          <w:color w:val="1F1F1F"/>
          <w:kern w:val="0"/>
          <w:sz w:val="24"/>
          <w:szCs w:val="24"/>
          <w:lang w:val="en-US" w:eastAsia="zh-CN" w:bidi="ar"/>
        </w:rPr>
        <w:t>一、单元测试</w:t>
      </w:r>
    </w:p>
    <w:p w14:paraId="3FC65669">
      <w:pPr>
        <w:pStyle w:val="3"/>
        <w:bidi w:val="0"/>
        <w:jc w:val="both"/>
        <w:rPr>
          <w:rFonts w:hint="default" w:ascii="宋体" w:hAnsi="宋体" w:eastAsia="宋体" w:cs="宋体"/>
          <w:b/>
          <w:bCs w:val="0"/>
          <w:color w:val="1F1F1F"/>
          <w:kern w:val="0"/>
          <w:sz w:val="24"/>
          <w:szCs w:val="24"/>
          <w:lang w:val="en-US" w:eastAsia="zh-CN" w:bidi="ar"/>
        </w:rPr>
      </w:pPr>
      <w:r>
        <w:rPr>
          <w:rFonts w:hint="default" w:ascii="宋体" w:hAnsi="宋体" w:eastAsia="宋体" w:cs="宋体"/>
          <w:b/>
          <w:bCs w:val="0"/>
          <w:color w:val="1F1F1F"/>
          <w:kern w:val="0"/>
          <w:sz w:val="24"/>
          <w:szCs w:val="24"/>
          <w:lang w:val="en-US" w:eastAsia="zh-CN" w:bidi="ar"/>
        </w:rPr>
        <w:t>病例管理与检查记录管理模块的单元测试逻辑</w:t>
      </w:r>
    </w:p>
    <w:tbl>
      <w:tblPr>
        <w:tblStyle w:val="6"/>
        <w:tblW w:w="9514" w:type="dxa"/>
        <w:jc w:val="center"/>
        <w:tblCellSpacing w:w="15" w:type="dxa"/>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365"/>
        <w:gridCol w:w="750"/>
        <w:gridCol w:w="888"/>
        <w:gridCol w:w="1059"/>
        <w:gridCol w:w="2562"/>
        <w:gridCol w:w="2890"/>
      </w:tblGrid>
      <w:tr w14:paraId="35FD1B4A">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6378C9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测试用例标识</w:t>
            </w:r>
          </w:p>
        </w:tc>
        <w:tc>
          <w:tcPr>
            <w:tcW w:w="7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6D2A77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验证模块</w:t>
            </w:r>
          </w:p>
        </w:tc>
        <w:tc>
          <w:tcPr>
            <w:tcW w:w="85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CC81F3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测试目标与场景描述</w:t>
            </w:r>
          </w:p>
        </w:tc>
        <w:tc>
          <w:tcPr>
            <w:tcW w:w="102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B3CD65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模拟前置数据与输入条件</w:t>
            </w:r>
          </w:p>
        </w:tc>
        <w:tc>
          <w:tcPr>
            <w:tcW w:w="253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DF5090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代码级执行步骤序列</w:t>
            </w:r>
          </w:p>
        </w:tc>
        <w:tc>
          <w:tcPr>
            <w:tcW w:w="284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03E71D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预期断言结果与异常捕获</w:t>
            </w:r>
          </w:p>
        </w:tc>
      </w:tr>
      <w:tr w14:paraId="3274FAFD">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2C1238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UT-CASE-01</w:t>
            </w:r>
          </w:p>
        </w:tc>
        <w:tc>
          <w:tcPr>
            <w:tcW w:w="7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D7B799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病例管理</w:t>
            </w:r>
          </w:p>
        </w:tc>
        <w:tc>
          <w:tcPr>
            <w:tcW w:w="85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6A97CF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列表页多维组合搜索查询构建逻辑</w:t>
            </w:r>
          </w:p>
        </w:tc>
        <w:tc>
          <w:tcPr>
            <w:tcW w:w="102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5C8D6F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初始化内存数据库，注入包含丰富边界值的人工合成病例数据集。输入条件：姓名=李* 且 创建时间区间=上周。</w:t>
            </w:r>
          </w:p>
        </w:tc>
        <w:tc>
          <w:tcPr>
            <w:tcW w:w="253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E4B563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rPr>
              <w:t>1. 实例化病例查询构建器对象；</w:t>
            </w:r>
          </w:p>
          <w:p w14:paraId="10B96A2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rPr>
              <w:t>2. 注入多条件过滤字典；</w:t>
            </w:r>
          </w:p>
          <w:p w14:paraId="3356160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rPr>
              <w:t>3. 调用BuildQuery与ExecuteFetcher函数。</w:t>
            </w:r>
          </w:p>
        </w:tc>
        <w:tc>
          <w:tcPr>
            <w:tcW w:w="284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6C0826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查询对象成功返回正确匹配的数据子集。针对全表扫描风险的测试断言响应时间在毫秒级，且生成的SQL无注入漏洞缺陷。</w:t>
            </w:r>
          </w:p>
        </w:tc>
      </w:tr>
      <w:tr w14:paraId="6C38E43D">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B53934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UT-CASE-02</w:t>
            </w:r>
          </w:p>
        </w:tc>
        <w:tc>
          <w:tcPr>
            <w:tcW w:w="7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B8777D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病例管理</w:t>
            </w:r>
          </w:p>
        </w:tc>
        <w:tc>
          <w:tcPr>
            <w:tcW w:w="85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E28CC4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详情页核心属性防篡改（只读）拦截</w:t>
            </w:r>
          </w:p>
        </w:tc>
        <w:tc>
          <w:tcPr>
            <w:tcW w:w="102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011860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实例化一个状态完备的病例实体模型。</w:t>
            </w:r>
          </w:p>
        </w:tc>
        <w:tc>
          <w:tcPr>
            <w:tcW w:w="253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EA5A53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尝试绕过UI验证，直接向领域层函数提交对Age与Gender字段的变异赋值操作。</w:t>
            </w:r>
          </w:p>
        </w:tc>
        <w:tc>
          <w:tcPr>
            <w:tcW w:w="284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878413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rPr>
              <w:t>拦截器成功触发，操作被拒绝并抛出ReadOnlyPropertyMutationException，原始内存数据保持不变。</w:t>
            </w:r>
          </w:p>
        </w:tc>
      </w:tr>
      <w:tr w14:paraId="0B79072D">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4B48EB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UT-EXAM-01</w:t>
            </w:r>
          </w:p>
        </w:tc>
        <w:tc>
          <w:tcPr>
            <w:tcW w:w="7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BE33FF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检查记录</w:t>
            </w:r>
          </w:p>
        </w:tc>
        <w:tc>
          <w:tcPr>
            <w:tcW w:w="85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22BAD3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关联病例数据完整性约束验证</w:t>
            </w:r>
          </w:p>
        </w:tc>
        <w:tc>
          <w:tcPr>
            <w:tcW w:w="102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855BF8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内存中无有效的病例ID缓存记录。</w:t>
            </w:r>
          </w:p>
        </w:tc>
        <w:tc>
          <w:tcPr>
            <w:tcW w:w="253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2E22C6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调用检查记录构造函数，传入缺失Case_ID的载荷，或传入虚假的离散散列值。</w:t>
            </w:r>
          </w:p>
        </w:tc>
        <w:tc>
          <w:tcPr>
            <w:tcW w:w="284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DF35F2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构造函数执行失败，抛出InvalidForeignKeyException，提示“必须提供有效且存在的关联病例号”约束错误。</w:t>
            </w:r>
          </w:p>
        </w:tc>
      </w:tr>
      <w:tr w14:paraId="1B61EA35">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13F431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UT-EXAM-02</w:t>
            </w:r>
          </w:p>
        </w:tc>
        <w:tc>
          <w:tcPr>
            <w:tcW w:w="7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28C76D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检查记录</w:t>
            </w:r>
          </w:p>
        </w:tc>
        <w:tc>
          <w:tcPr>
            <w:tcW w:w="85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E19E8D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列表筛选引擎空值与模糊匹配处理</w:t>
            </w:r>
          </w:p>
        </w:tc>
        <w:tc>
          <w:tcPr>
            <w:tcW w:w="102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ABD7D0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构建包含各种特殊字符、空字符串与超长文本的搜索输入向量。</w:t>
            </w:r>
          </w:p>
        </w:tc>
        <w:tc>
          <w:tcPr>
            <w:tcW w:w="253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A0F135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遍历输入向量，调用检查记录列表的搜索服务。</w:t>
            </w:r>
          </w:p>
        </w:tc>
        <w:tc>
          <w:tcPr>
            <w:tcW w:w="284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4F3496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搜索引擎正常处理空值（返回全量分页），对模糊匹配自动进行通配符转义，内存无溢出，程序未发生崩溃或抛出500错误。</w:t>
            </w:r>
          </w:p>
        </w:tc>
      </w:tr>
    </w:tbl>
    <w:p w14:paraId="7F447FE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b/>
          <w:bCs/>
          <w:color w:val="1F1F1F"/>
        </w:rPr>
      </w:pPr>
      <w:r>
        <w:rPr>
          <w:rFonts w:hint="default" w:ascii="宋体" w:hAnsi="宋体" w:eastAsia="宋体" w:cs="宋体"/>
          <w:b/>
          <w:bCs/>
          <w:color w:val="1F1F1F"/>
        </w:rPr>
        <w:t>影像记录管理与底层文件解析管道单元测试</w:t>
      </w:r>
    </w:p>
    <w:tbl>
      <w:tblPr>
        <w:tblStyle w:val="6"/>
        <w:tblW w:w="9851" w:type="dxa"/>
        <w:jc w:val="center"/>
        <w:tblCellSpacing w:w="15" w:type="dxa"/>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85"/>
        <w:gridCol w:w="702"/>
        <w:gridCol w:w="1893"/>
        <w:gridCol w:w="1992"/>
        <w:gridCol w:w="1833"/>
        <w:gridCol w:w="2046"/>
      </w:tblGrid>
      <w:tr w14:paraId="1AA177F5">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blCellSpacing w:w="15" w:type="dxa"/>
          <w:jc w:val="center"/>
        </w:trPr>
        <w:tc>
          <w:tcPr>
            <w:tcW w:w="120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22684A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测试用例标识</w:t>
            </w:r>
          </w:p>
        </w:tc>
        <w:tc>
          <w:tcPr>
            <w:tcW w:w="67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A841D2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验证模块</w:t>
            </w:r>
          </w:p>
        </w:tc>
        <w:tc>
          <w:tcPr>
            <w:tcW w:w="189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ADE1F2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测试目标与场景描述</w:t>
            </w:r>
          </w:p>
        </w:tc>
        <w:tc>
          <w:tcPr>
            <w:tcW w:w="197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077073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模拟前置数据与输入条件</w:t>
            </w:r>
          </w:p>
        </w:tc>
        <w:tc>
          <w:tcPr>
            <w:tcW w:w="182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AFBE5E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代码级执行步骤序列</w:t>
            </w:r>
          </w:p>
        </w:tc>
        <w:tc>
          <w:tcPr>
            <w:tcW w:w="202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D09EB7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预期断言结果与异常捕获</w:t>
            </w:r>
          </w:p>
        </w:tc>
      </w:tr>
      <w:tr w14:paraId="370C6253">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20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1414EA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UT-IMG-01</w:t>
            </w:r>
          </w:p>
        </w:tc>
        <w:tc>
          <w:tcPr>
            <w:tcW w:w="67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FD52F9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影像记录</w:t>
            </w:r>
          </w:p>
        </w:tc>
        <w:tc>
          <w:tcPr>
            <w:tcW w:w="189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43BAB5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异构DICOM元数据</w:t>
            </w:r>
            <w:r>
              <w:rPr>
                <w:rFonts w:hint="eastAsia" w:ascii="宋体" w:hAnsi="宋体" w:eastAsia="宋体" w:cs="宋体"/>
                <w:color w:val="1F1F1F"/>
                <w:lang w:val="en-US" w:eastAsia="zh-CN"/>
              </w:rPr>
              <w:t>健壮性</w:t>
            </w:r>
            <w:r>
              <w:rPr>
                <w:rFonts w:hint="default" w:ascii="宋体" w:hAnsi="宋体" w:eastAsia="宋体" w:cs="宋体"/>
                <w:color w:val="1F1F1F"/>
                <w:lang w:val="en-US" w:eastAsia="zh-CN"/>
              </w:rPr>
              <w:t>提取</w:t>
            </w:r>
          </w:p>
        </w:tc>
        <w:tc>
          <w:tcPr>
            <w:tcW w:w="197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6CEF9A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rPr>
              <w:t>准备由不同厂商设备生成的测试集，包含部分关键Tag缺失或私有Tag覆盖的DICOM切片样本。</w:t>
            </w:r>
          </w:p>
        </w:tc>
        <w:tc>
          <w:tcPr>
            <w:tcW w:w="182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32D49E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调用影像解析服务核心函数，抽提关联检查号、病例号及成像参数，建立数据索引。</w:t>
            </w:r>
          </w:p>
        </w:tc>
        <w:tc>
          <w:tcPr>
            <w:tcW w:w="202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B8C64D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引擎成功提取存在的数据，对于缺失的非核心Tag采取安全回退策略填充默认值，解析流程不发生灾难性中断。</w:t>
            </w:r>
          </w:p>
        </w:tc>
      </w:tr>
      <w:tr w14:paraId="296EF0C0">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20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B87E1F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UT-IMG-02</w:t>
            </w:r>
          </w:p>
        </w:tc>
        <w:tc>
          <w:tcPr>
            <w:tcW w:w="67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874596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影像记录</w:t>
            </w:r>
          </w:p>
        </w:tc>
        <w:tc>
          <w:tcPr>
            <w:tcW w:w="189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BEE2E9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缩略图生成引擎内存与窗宽窗位渲染</w:t>
            </w:r>
          </w:p>
        </w:tc>
        <w:tc>
          <w:tcPr>
            <w:tcW w:w="197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08CCD5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传入一张分辨率为2048x2048的16位深度全尺寸CR（计算计算机放射摄影）胸片像素矩阵。</w:t>
            </w:r>
          </w:p>
        </w:tc>
        <w:tc>
          <w:tcPr>
            <w:tcW w:w="182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D70693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调用缩略图渲染器组件，指定输出规格为256x256的JPEG编码流，并监控JVM/V8引擎内存轨迹。</w:t>
            </w:r>
          </w:p>
        </w:tc>
        <w:tc>
          <w:tcPr>
            <w:tcW w:w="202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1C8FB4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成功输出尺寸与格式符合规范的缩略图，图像对比度经窗宽窗位线性映射后表现正常；且函数调用结束后，大数组内存被垃圾回收器成功回收。</w:t>
            </w:r>
          </w:p>
        </w:tc>
      </w:tr>
      <w:tr w14:paraId="3A81B545">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20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727976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UT-IMG-03</w:t>
            </w:r>
          </w:p>
        </w:tc>
        <w:tc>
          <w:tcPr>
            <w:tcW w:w="67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E85B12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影像记录</w:t>
            </w:r>
          </w:p>
        </w:tc>
        <w:tc>
          <w:tcPr>
            <w:tcW w:w="189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BDBFE2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光度学解释归一化校验</w:t>
            </w:r>
          </w:p>
        </w:tc>
        <w:tc>
          <w:tcPr>
            <w:tcW w:w="197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114038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rPr>
              <w:t>预备包含MONOCHROME1标签属性的异常灰度反转DICOM图像数据流。</w:t>
            </w:r>
          </w:p>
        </w:tc>
        <w:tc>
          <w:tcPr>
            <w:tcW w:w="182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7E1E14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执行图像矩阵的预处理与张量转换前置函数。</w:t>
            </w:r>
          </w:p>
        </w:tc>
        <w:tc>
          <w:tcPr>
            <w:tcW w:w="202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B3852F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函数自动侦测到该属性，并成功对所有像素矩阵实施位反转计算（不反转Padding填充区），确保输出矩阵数据分布与常规影像对齐。</w:t>
            </w:r>
          </w:p>
        </w:tc>
      </w:tr>
    </w:tbl>
    <w:p w14:paraId="327AA2C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b/>
          <w:bCs/>
          <w:color w:val="1F1F1F"/>
        </w:rPr>
      </w:pPr>
      <w:r>
        <w:rPr>
          <w:rFonts w:hint="default" w:ascii="宋体" w:hAnsi="宋体" w:eastAsia="宋体" w:cs="宋体"/>
          <w:b/>
          <w:bCs/>
          <w:color w:val="1F1F1F"/>
        </w:rPr>
        <w:t>推理任务管理与AI负载调度单元测试</w:t>
      </w:r>
    </w:p>
    <w:tbl>
      <w:tblPr>
        <w:tblStyle w:val="6"/>
        <w:tblW w:w="9856" w:type="dxa"/>
        <w:jc w:val="center"/>
        <w:tblCellSpacing w:w="15" w:type="dxa"/>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365"/>
        <w:gridCol w:w="750"/>
        <w:gridCol w:w="901"/>
        <w:gridCol w:w="1514"/>
        <w:gridCol w:w="2401"/>
        <w:gridCol w:w="2925"/>
      </w:tblGrid>
      <w:tr w14:paraId="60E039AB">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C2363C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测试用例标识</w:t>
            </w:r>
          </w:p>
        </w:tc>
        <w:tc>
          <w:tcPr>
            <w:tcW w:w="7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869A37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验证模块</w:t>
            </w:r>
          </w:p>
        </w:tc>
        <w:tc>
          <w:tcPr>
            <w:tcW w:w="871"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28314E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测试目标与场景描述</w:t>
            </w:r>
          </w:p>
        </w:tc>
        <w:tc>
          <w:tcPr>
            <w:tcW w:w="148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47FD28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模拟前置数据与输入条件</w:t>
            </w:r>
          </w:p>
        </w:tc>
        <w:tc>
          <w:tcPr>
            <w:tcW w:w="2371"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F2A355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代码级执行步骤序列</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0F5195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预期断言结果与异常捕获</w:t>
            </w:r>
          </w:p>
        </w:tc>
      </w:tr>
      <w:tr w14:paraId="5BEB8E27">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363983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UT-TASK-01</w:t>
            </w:r>
          </w:p>
        </w:tc>
        <w:tc>
          <w:tcPr>
            <w:tcW w:w="7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6CB462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推理任务</w:t>
            </w:r>
          </w:p>
        </w:tc>
        <w:tc>
          <w:tcPr>
            <w:tcW w:w="871"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79592B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AI返回JSON结果的强类型反序列化</w:t>
            </w:r>
          </w:p>
        </w:tc>
        <w:tc>
          <w:tcPr>
            <w:tcW w:w="148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83CA12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rPr>
              <w:t>准备符合规范的Mock AI结果JSON字符串（含高低置信度、多边界框坐标体系）。</w:t>
            </w:r>
          </w:p>
        </w:tc>
        <w:tc>
          <w:tcPr>
            <w:tcW w:w="2371"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3E9187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将JSON数据流送入结果解析与验证管道。</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5795B3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解析器成功输出结构化对象列表，数据类型（如浮点数置信度、坐标数组）完美匹配。遇到必填字段缺失的畸形JSON时，抛出SchemaValidationException。</w:t>
            </w:r>
          </w:p>
        </w:tc>
      </w:tr>
      <w:tr w14:paraId="47C61624">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A10859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UT-TASK-02</w:t>
            </w:r>
          </w:p>
        </w:tc>
        <w:tc>
          <w:tcPr>
            <w:tcW w:w="7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17CA7C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推理任务</w:t>
            </w:r>
          </w:p>
        </w:tc>
        <w:tc>
          <w:tcPr>
            <w:tcW w:w="871"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C16F8E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错误码映射与失败状态处理逻辑</w:t>
            </w:r>
          </w:p>
        </w:tc>
        <w:tc>
          <w:tcPr>
            <w:tcW w:w="148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9E7944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模拟底层AI微服务返回网络超时（HTTP 504）或GPU显存不足（OOM）等不同类型的错误标志位。</w:t>
            </w:r>
          </w:p>
        </w:tc>
        <w:tc>
          <w:tcPr>
            <w:tcW w:w="2371"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481A17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调用任务状态更新服务及错误字典转译组件。</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3545D3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任务状态原子性地更新为“失败”，底层晦涩的异常堆栈被安全剥离，转译为“模型服务器繁忙，请稍后重试”等安全提示语。</w:t>
            </w:r>
          </w:p>
        </w:tc>
      </w:tr>
      <w:tr w14:paraId="09D16529">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FC17A0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UT-TASK-03</w:t>
            </w:r>
          </w:p>
        </w:tc>
        <w:tc>
          <w:tcPr>
            <w:tcW w:w="7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9C24DF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推理任务</w:t>
            </w:r>
          </w:p>
        </w:tc>
        <w:tc>
          <w:tcPr>
            <w:tcW w:w="871"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23A18F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人工评价闭环持久化与时间戳覆盖</w:t>
            </w:r>
          </w:p>
        </w:tc>
        <w:tc>
          <w:tcPr>
            <w:tcW w:w="148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793027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内存中存在一条状态为“成功”的已有推理任务对象及其关联评价对象。</w:t>
            </w:r>
          </w:p>
        </w:tc>
        <w:tc>
          <w:tcPr>
            <w:tcW w:w="2371"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68DA45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模拟医生二次干预，调用保存接口输入修改后的评价文本及医生鉴权令牌。</w:t>
            </w:r>
          </w:p>
        </w:tc>
        <w:tc>
          <w:tcPr>
            <w:tcW w:w="288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88F5C8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原有评价内容被安全覆盖，数据库记录的Last_Modified_Time字段被更新为最新时间戳，操作不破坏原始AI诊断数据的完整性。</w:t>
            </w:r>
          </w:p>
        </w:tc>
      </w:tr>
    </w:tbl>
    <w:p w14:paraId="37D53B4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b/>
          <w:bCs/>
          <w:color w:val="1F1F1F"/>
        </w:rPr>
        <w:t>用户管理与日志审计模块的底层安全单元测试</w:t>
      </w:r>
    </w:p>
    <w:tbl>
      <w:tblPr>
        <w:tblStyle w:val="6"/>
        <w:tblW w:w="9494" w:type="dxa"/>
        <w:jc w:val="center"/>
        <w:tblCellSpacing w:w="15" w:type="dxa"/>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25"/>
        <w:gridCol w:w="720"/>
        <w:gridCol w:w="1422"/>
        <w:gridCol w:w="1928"/>
        <w:gridCol w:w="1663"/>
        <w:gridCol w:w="2136"/>
      </w:tblGrid>
      <w:tr w14:paraId="6977F545">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blCellSpacing w:w="15" w:type="dxa"/>
          <w:jc w:val="center"/>
        </w:trPr>
        <w:tc>
          <w:tcPr>
            <w:tcW w:w="144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76DFE4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测试用例标识</w:t>
            </w:r>
          </w:p>
        </w:tc>
        <w:tc>
          <w:tcPr>
            <w:tcW w:w="69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E266CB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验证模块</w:t>
            </w:r>
          </w:p>
        </w:tc>
        <w:tc>
          <w:tcPr>
            <w:tcW w:w="140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D10855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测试目标与场景描述</w:t>
            </w:r>
          </w:p>
        </w:tc>
        <w:tc>
          <w:tcPr>
            <w:tcW w:w="190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3E157E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模拟前置数据与输入条件</w:t>
            </w:r>
          </w:p>
        </w:tc>
        <w:tc>
          <w:tcPr>
            <w:tcW w:w="164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37C190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代码级执行步骤序列</w:t>
            </w:r>
          </w:p>
        </w:tc>
        <w:tc>
          <w:tcPr>
            <w:tcW w:w="211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B4A830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预期断言结果与异常捕获</w:t>
            </w:r>
          </w:p>
        </w:tc>
      </w:tr>
      <w:tr w14:paraId="7642B2AE">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44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5943BB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UT-USER-01</w:t>
            </w:r>
          </w:p>
        </w:tc>
        <w:tc>
          <w:tcPr>
            <w:tcW w:w="69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E29422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用户管理</w:t>
            </w:r>
          </w:p>
        </w:tc>
        <w:tc>
          <w:tcPr>
            <w:tcW w:w="140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D3A9EF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密码学单向哈希加盐防御机制</w:t>
            </w:r>
          </w:p>
        </w:tc>
        <w:tc>
          <w:tcPr>
            <w:tcW w:w="190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CE22AD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环境具备标准的加密库依赖。</w:t>
            </w:r>
          </w:p>
        </w:tc>
        <w:tc>
          <w:tcPr>
            <w:tcW w:w="164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3AEE5E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调用新建用户核心逻辑，输入弱口令或标准明文密码作为模拟载荷。</w:t>
            </w:r>
          </w:p>
        </w:tc>
        <w:tc>
          <w:tcPr>
            <w:tcW w:w="211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33CBF2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从模拟的数据库层提取的密码字段为高熵哈希值，相同的明文多次加密产出不同的哈希密文（盐值随机性验证成功）。</w:t>
            </w:r>
          </w:p>
        </w:tc>
      </w:tr>
      <w:tr w14:paraId="16384E81">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44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B3B675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UT-USER-02</w:t>
            </w:r>
          </w:p>
        </w:tc>
        <w:tc>
          <w:tcPr>
            <w:tcW w:w="69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DEA54B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用户管理</w:t>
            </w:r>
          </w:p>
        </w:tc>
        <w:tc>
          <w:tcPr>
            <w:tcW w:w="140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FD3BDC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用户禁用状态及会话拦截逻辑</w:t>
            </w:r>
          </w:p>
        </w:tc>
        <w:tc>
          <w:tcPr>
            <w:tcW w:w="190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91A1E7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实例化一个标记为is_disabled = True的用户对象模型。</w:t>
            </w:r>
          </w:p>
        </w:tc>
        <w:tc>
          <w:tcPr>
            <w:tcW w:w="164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740CB7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通过鉴权中间件模拟该对象尝试获取受保护域资源（如获取日志列表）。</w:t>
            </w:r>
          </w:p>
        </w:tc>
        <w:tc>
          <w:tcPr>
            <w:tcW w:w="211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8251CC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中间件层直接返回拦截信号，断言产生访问拒绝事件，流程未能进入核心业务控制器。</w:t>
            </w:r>
          </w:p>
        </w:tc>
      </w:tr>
      <w:tr w14:paraId="13E998D5">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44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9BCC3D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UT-AUDIT-01</w:t>
            </w:r>
          </w:p>
        </w:tc>
        <w:tc>
          <w:tcPr>
            <w:tcW w:w="69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575394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日志审计</w:t>
            </w:r>
          </w:p>
        </w:tc>
        <w:tc>
          <w:tcPr>
            <w:tcW w:w="1405"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5C2E8A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HIPAA级日志载荷完整性拼装</w:t>
            </w:r>
          </w:p>
        </w:tc>
        <w:tc>
          <w:tcPr>
            <w:tcW w:w="190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D79D52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日志服务实例被唤醒。</w:t>
            </w:r>
          </w:p>
        </w:tc>
        <w:tc>
          <w:tcPr>
            <w:tcW w:w="164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8759BC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模拟任意业务模块广播一个“查看患者影像”的操作事件至日志消息队列。</w:t>
            </w:r>
          </w:p>
        </w:tc>
        <w:tc>
          <w:tcPr>
            <w:tcW w:w="211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F3C5F3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rPr>
              <w:t>日志消费者成功捕获事件，生成的最终记录对象中，用户ID、UTC时间戳、行为类型枚举及靶向影像ID字段一个不少且格式严密。</w:t>
            </w:r>
          </w:p>
        </w:tc>
      </w:tr>
    </w:tbl>
    <w:p w14:paraId="28623AA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b/>
          <w:bCs/>
          <w:color w:val="1F1F1F"/>
          <w:lang w:val="en-US" w:eastAsia="zh-CN"/>
        </w:rPr>
      </w:pPr>
      <w:r>
        <w:rPr>
          <w:rFonts w:hint="eastAsia" w:ascii="宋体" w:hAnsi="宋体" w:eastAsia="宋体" w:cs="宋体"/>
          <w:b/>
          <w:bCs/>
          <w:color w:val="1F1F1F"/>
          <w:lang w:val="en-US" w:eastAsia="zh-CN"/>
        </w:rPr>
        <w:t>二、接口测试</w:t>
      </w:r>
    </w:p>
    <w:p w14:paraId="76E4C51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b/>
          <w:bCs/>
          <w:color w:val="1F1F1F"/>
        </w:rPr>
      </w:pPr>
      <w:r>
        <w:rPr>
          <w:rFonts w:hint="default" w:ascii="宋体" w:hAnsi="宋体" w:eastAsia="宋体" w:cs="宋体"/>
          <w:b/>
          <w:bCs/>
          <w:color w:val="1F1F1F"/>
        </w:rPr>
        <w:t>集成测试维度的边界与数据流验证</w:t>
      </w:r>
    </w:p>
    <w:tbl>
      <w:tblPr>
        <w:tblStyle w:val="6"/>
        <w:tblW w:w="9878" w:type="dxa"/>
        <w:jc w:val="center"/>
        <w:tblCellSpacing w:w="15" w:type="dxa"/>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05"/>
        <w:gridCol w:w="1060"/>
        <w:gridCol w:w="1412"/>
        <w:gridCol w:w="2307"/>
        <w:gridCol w:w="1561"/>
        <w:gridCol w:w="2033"/>
      </w:tblGrid>
      <w:tr w14:paraId="2E1F44CF">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3D879B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测试用例标识</w:t>
            </w:r>
          </w:p>
        </w:tc>
        <w:tc>
          <w:tcPr>
            <w:tcW w:w="104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0CED7D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验证域间边界</w:t>
            </w:r>
          </w:p>
        </w:tc>
        <w:tc>
          <w:tcPr>
            <w:tcW w:w="140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86FD42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测试目标与场景描述</w:t>
            </w:r>
          </w:p>
        </w:tc>
        <w:tc>
          <w:tcPr>
            <w:tcW w:w="228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862102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前置架构与接口环境</w:t>
            </w:r>
          </w:p>
        </w:tc>
        <w:tc>
          <w:tcPr>
            <w:tcW w:w="155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587165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执行工作流与负载传递</w:t>
            </w:r>
          </w:p>
        </w:tc>
        <w:tc>
          <w:tcPr>
            <w:tcW w:w="202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277976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预期集成结果与系统一致性检查</w:t>
            </w:r>
          </w:p>
        </w:tc>
      </w:tr>
      <w:tr w14:paraId="67782127">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0A717F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IT-DATA-01</w:t>
            </w:r>
          </w:p>
        </w:tc>
        <w:tc>
          <w:tcPr>
            <w:tcW w:w="104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5C966A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数据库层</w:t>
            </w:r>
          </w:p>
        </w:tc>
        <w:tc>
          <w:tcPr>
            <w:tcW w:w="140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E7DAFE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病例、检查与影像实体数据的深度级联关联</w:t>
            </w:r>
          </w:p>
        </w:tc>
        <w:tc>
          <w:tcPr>
            <w:tcW w:w="228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6FB1D7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MySQL/PostgreSQL测试库正常运行，配置了完整的外键约束。</w:t>
            </w:r>
          </w:p>
        </w:tc>
        <w:tc>
          <w:tcPr>
            <w:tcW w:w="155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9DA6DE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1. 通过API插入病例A；2. 插入归属A的检查B；3. 插入归属B的影像文件C列表。</w:t>
            </w:r>
          </w:p>
        </w:tc>
        <w:tc>
          <w:tcPr>
            <w:tcW w:w="202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FD4D38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通过级联查询，利用病例A的唯一标识码能够高效、准确地连接并提取出所有的检查记录及底层影像集合；且删除病例A时，可根据外键配置拒绝操作或级联清理数据。</w:t>
            </w:r>
          </w:p>
        </w:tc>
      </w:tr>
      <w:tr w14:paraId="3CF3464D">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F70D49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IT-STOR-01</w:t>
            </w:r>
          </w:p>
        </w:tc>
        <w:tc>
          <w:tcPr>
            <w:tcW w:w="104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B0CB9A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存储与后端</w:t>
            </w:r>
          </w:p>
        </w:tc>
        <w:tc>
          <w:tcPr>
            <w:tcW w:w="140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880690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“上传影像”按钮触发的异构系统文件落盘与状态同步</w:t>
            </w:r>
          </w:p>
        </w:tc>
        <w:tc>
          <w:tcPr>
            <w:tcW w:w="228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18243F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模拟真实的文件存储服务网关及数据库连接。</w:t>
            </w:r>
          </w:p>
        </w:tc>
        <w:tc>
          <w:tcPr>
            <w:tcW w:w="155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D8467A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1. 模拟向存储网关推入测试图像；2. 存储触发回调API；3. 后端执行状态更新事务。</w:t>
            </w:r>
          </w:p>
        </w:tc>
        <w:tc>
          <w:tcPr>
            <w:tcW w:w="202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6F6C9B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rPr>
              <w:t>影像记录列表成功展示新增文件信息，包含正确的文件格式与计算所得的缩略图链接；所属的检查记录状态被自动化更新为协同状态。</w:t>
            </w:r>
          </w:p>
        </w:tc>
      </w:tr>
    </w:tbl>
    <w:p w14:paraId="52D103D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b/>
          <w:bCs/>
          <w:color w:val="1F1F1F"/>
        </w:rPr>
        <w:t>AI推理微服务管道的异步调度与通信集成</w:t>
      </w:r>
    </w:p>
    <w:tbl>
      <w:tblPr>
        <w:tblStyle w:val="6"/>
        <w:tblW w:w="9715"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45"/>
        <w:gridCol w:w="1586"/>
        <w:gridCol w:w="748"/>
        <w:gridCol w:w="1862"/>
        <w:gridCol w:w="1671"/>
        <w:gridCol w:w="2703"/>
      </w:tblGrid>
      <w:tr w14:paraId="05CA9A0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1080"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470BFCD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测试用例标识</w:t>
            </w:r>
          </w:p>
        </w:tc>
        <w:tc>
          <w:tcPr>
            <w:tcW w:w="1560"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1BB9456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验证域间边界</w:t>
            </w:r>
          </w:p>
        </w:tc>
        <w:tc>
          <w:tcPr>
            <w:tcW w:w="718"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5F42931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测试目标与场景描述</w:t>
            </w:r>
          </w:p>
        </w:tc>
        <w:tc>
          <w:tcPr>
            <w:tcW w:w="1834"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4A2FAB7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前置架构与接口环境</w:t>
            </w:r>
          </w:p>
        </w:tc>
        <w:tc>
          <w:tcPr>
            <w:tcW w:w="1643"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2C6434B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执行工作流与负载传递</w:t>
            </w:r>
          </w:p>
        </w:tc>
        <w:tc>
          <w:tcPr>
            <w:tcW w:w="2663"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tcMar>
            <w:vAlign w:val="center"/>
          </w:tcPr>
          <w:p w14:paraId="50C3DF6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预期集成结果与系统一致性检查</w:t>
            </w:r>
          </w:p>
        </w:tc>
      </w:tr>
      <w:tr w14:paraId="3DCE5D1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080"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3880CC4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IT-AI-01</w:t>
            </w:r>
          </w:p>
        </w:tc>
        <w:tc>
          <w:tcPr>
            <w:tcW w:w="1560"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51E4F55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业务与AI层</w:t>
            </w:r>
          </w:p>
        </w:tc>
        <w:tc>
          <w:tcPr>
            <w:tcW w:w="718"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040FFFC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“发起推理”接口与异步处理状态机的闭环同步</w:t>
            </w:r>
          </w:p>
        </w:tc>
        <w:tc>
          <w:tcPr>
            <w:tcW w:w="1834"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0390773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业务核心服务与测试用AI模型服务之间建立网络路由通道。</w:t>
            </w:r>
          </w:p>
        </w:tc>
        <w:tc>
          <w:tcPr>
            <w:tcW w:w="1643"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2E8E447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1. 调用发起推理API；2. 轮询任务队列表；3. AI服务端抛出处理完成的JSON回调事件。</w:t>
            </w:r>
          </w:p>
        </w:tc>
        <w:tc>
          <w:tcPr>
            <w:tcW w:w="2663"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tcMar>
            <w:vAlign w:val="center"/>
          </w:tcPr>
          <w:p w14:paraId="3EC516E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前期轮询返回任务处于缓冲或计算状态；回调到达后，系统数据层准确锁定相应任务记录，原子性地写入检测标签与坐标组，状态标记为“成功”。</w:t>
            </w:r>
          </w:p>
        </w:tc>
      </w:tr>
      <w:tr w14:paraId="4371272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080"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5790D08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IT-AI-02</w:t>
            </w:r>
          </w:p>
        </w:tc>
        <w:tc>
          <w:tcPr>
            <w:tcW w:w="1560"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30155B8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业务与AI层</w:t>
            </w:r>
          </w:p>
        </w:tc>
        <w:tc>
          <w:tcPr>
            <w:tcW w:w="718"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7675B04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超时熔断机制与异常回调处理</w:t>
            </w:r>
          </w:p>
        </w:tc>
        <w:tc>
          <w:tcPr>
            <w:tcW w:w="1834"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0FECBDB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同上，但将模拟AI服务端点设置为静默不响应（黑洞测试）或直接返回内部服务器错误（HTTP 500）。</w:t>
            </w:r>
          </w:p>
        </w:tc>
        <w:tc>
          <w:tcPr>
            <w:tcW w:w="1643"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right w:w="120" w:type="dxa"/>
            </w:tcMar>
            <w:vAlign w:val="center"/>
          </w:tcPr>
          <w:p w14:paraId="5094A21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触发推理请求后启动计时器，监控系统的重试策略与容错容器。</w:t>
            </w:r>
          </w:p>
        </w:tc>
        <w:tc>
          <w:tcPr>
            <w:tcW w:w="2663" w:type="dxa"/>
            <w:tcBorders>
              <w:top w:val="single" w:color="auto" w:sz="4" w:space="0"/>
              <w:left w:val="single" w:color="auto" w:sz="4" w:space="0"/>
              <w:bottom w:val="single" w:color="auto" w:sz="4" w:space="0"/>
              <w:right w:val="single" w:color="auto" w:sz="4" w:space="0"/>
            </w:tcBorders>
            <w:shd w:val="clear" w:color="auto" w:fill="auto"/>
            <w:tcMar>
              <w:top w:w="160" w:type="dxa"/>
              <w:bottom w:w="160" w:type="dxa"/>
            </w:tcMar>
            <w:vAlign w:val="center"/>
          </w:tcPr>
          <w:p w14:paraId="7D64AAD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超过预设宽限期后，系统断开连接，任务状态表被看门狗程序安全更新为“失败-连接超时”，有效防止后端服务出现大规模的线程耗尽。</w:t>
            </w:r>
          </w:p>
        </w:tc>
      </w:tr>
    </w:tbl>
    <w:p w14:paraId="74DF74F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b/>
          <w:bCs/>
          <w:color w:val="1F1F1F"/>
        </w:rPr>
        <w:t>基于Web前端阅片器与结构化渲染的集成</w:t>
      </w:r>
    </w:p>
    <w:tbl>
      <w:tblPr>
        <w:tblStyle w:val="6"/>
        <w:tblW w:w="9425" w:type="dxa"/>
        <w:jc w:val="center"/>
        <w:tblCellSpacing w:w="15" w:type="dxa"/>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05"/>
        <w:gridCol w:w="1017"/>
        <w:gridCol w:w="1455"/>
        <w:gridCol w:w="1678"/>
        <w:gridCol w:w="1866"/>
        <w:gridCol w:w="1904"/>
      </w:tblGrid>
      <w:tr w14:paraId="4C4893C0">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CE62AEA">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测试用例标识</w:t>
            </w:r>
          </w:p>
        </w:tc>
        <w:tc>
          <w:tcPr>
            <w:tcW w:w="99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9EE2647">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验证域间边界</w:t>
            </w:r>
          </w:p>
        </w:tc>
        <w:tc>
          <w:tcPr>
            <w:tcW w:w="142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FA63692">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测试目标与场景描述</w:t>
            </w:r>
          </w:p>
        </w:tc>
        <w:tc>
          <w:tcPr>
            <w:tcW w:w="16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F90F55C">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前置架构与接口环境</w:t>
            </w:r>
          </w:p>
        </w:tc>
        <w:tc>
          <w:tcPr>
            <w:tcW w:w="1853"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8D0BC8B">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执行工作流与负载传递</w:t>
            </w:r>
          </w:p>
        </w:tc>
        <w:tc>
          <w:tcPr>
            <w:tcW w:w="1881"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17BF9A9">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b/>
                <w:color w:val="1F1F1F"/>
              </w:rPr>
            </w:pPr>
            <w:r>
              <w:rPr>
                <w:rFonts w:hint="default" w:ascii="宋体" w:hAnsi="宋体" w:eastAsia="宋体" w:cs="宋体"/>
                <w:b/>
                <w:color w:val="1F1F1F"/>
                <w:lang w:val="en-US" w:eastAsia="zh-CN"/>
              </w:rPr>
              <w:t>预期集成结果与系统一致性检查</w:t>
            </w:r>
          </w:p>
        </w:tc>
      </w:tr>
      <w:tr w14:paraId="59704498">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5E68723">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IT-VIEW-01</w:t>
            </w:r>
          </w:p>
        </w:tc>
        <w:tc>
          <w:tcPr>
            <w:tcW w:w="99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038E706">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前端与后端数据API</w:t>
            </w:r>
          </w:p>
        </w:tc>
        <w:tc>
          <w:tcPr>
            <w:tcW w:w="142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1425D0B">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DICOM画布与AI推理标注数据层精准叠加</w:t>
            </w:r>
          </w:p>
        </w:tc>
        <w:tc>
          <w:tcPr>
            <w:tcW w:w="16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2420E1E">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集成了WebDICOM阅片器的前端页面环境，加载了一组肺部CT切片数据。</w:t>
            </w:r>
          </w:p>
        </w:tc>
        <w:tc>
          <w:tcPr>
            <w:tcW w:w="1853"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43661F1">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rPr>
              <w:t>1. 从后端API拉取包含病灶边界框信息的结构化JSON；2. 将坐标信息导入前端标注渲染工具包。</w:t>
            </w:r>
          </w:p>
        </w:tc>
        <w:tc>
          <w:tcPr>
            <w:tcW w:w="1881"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3F4A78F">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画布上能够精确渲染出高亮边界框，框体完美覆盖目标特征区；执行缩放和平移操作时，边界框与底图保持相对位置的绝对静止锚定。</w:t>
            </w:r>
          </w:p>
        </w:tc>
      </w:tr>
      <w:tr w14:paraId="1AC608AC">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32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CC5F73C">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center"/>
              <w:rPr>
                <w:rFonts w:hint="default" w:ascii="宋体" w:hAnsi="宋体" w:eastAsia="宋体" w:cs="宋体"/>
                <w:color w:val="1F1F1F"/>
              </w:rPr>
            </w:pPr>
            <w:r>
              <w:rPr>
                <w:rFonts w:hint="default" w:ascii="宋体" w:hAnsi="宋体" w:eastAsia="宋体" w:cs="宋体"/>
                <w:color w:val="1F1F1F"/>
                <w:lang w:val="en-US" w:eastAsia="zh-CN"/>
              </w:rPr>
              <w:t>IT-VIEW-02</w:t>
            </w:r>
          </w:p>
        </w:tc>
        <w:tc>
          <w:tcPr>
            <w:tcW w:w="99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7EE1D52">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报告导出引擎</w:t>
            </w:r>
          </w:p>
        </w:tc>
        <w:tc>
          <w:tcPr>
            <w:tcW w:w="142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F0D2EB4">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跨模块数据聚合与PDF/JSON报告自动装配成型</w:t>
            </w:r>
          </w:p>
        </w:tc>
        <w:tc>
          <w:tcPr>
            <w:tcW w:w="16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A0E5726">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任务详情页已呈现全量视图（含患者信息、人工审核评价及带图层的诊断结果）。</w:t>
            </w:r>
          </w:p>
        </w:tc>
        <w:tc>
          <w:tcPr>
            <w:tcW w:w="1853"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8D2F788">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用户触发“导出简要报告”及“导出JSON结果”功能，系统调度合并流水线。</w:t>
            </w:r>
          </w:p>
        </w:tc>
        <w:tc>
          <w:tcPr>
            <w:tcW w:w="1881"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8330439">
            <w:pPr>
              <w:pStyle w:val="5"/>
              <w:keepNext/>
              <w:keepLines w:val="0"/>
              <w:widowControl/>
              <w:suppressLineNumbers w:val="0"/>
              <w:pBdr>
                <w:top w:val="none" w:color="1F1F1F" w:sz="0" w:space="0"/>
                <w:left w:val="none" w:color="1F1F1F" w:sz="0" w:space="0"/>
                <w:bottom w:val="none" w:color="1F1F1F" w:sz="0" w:space="0"/>
                <w:right w:val="none" w:color="1F1F1F" w:sz="0" w:space="0"/>
              </w:pBdr>
              <w:bidi w:val="0"/>
              <w:snapToGrid w:val="0"/>
              <w:spacing w:before="0" w:beforeAutospacing="0" w:after="160" w:afterAutospacing="0" w:line="240" w:lineRule="auto"/>
              <w:ind w:left="0" w:leftChars="0" w:right="0" w:rightChars="0" w:firstLine="0" w:firstLineChars="0"/>
              <w:jc w:val="left"/>
              <w:rPr>
                <w:rFonts w:hint="default" w:ascii="宋体" w:hAnsi="宋体" w:eastAsia="宋体" w:cs="宋体"/>
                <w:color w:val="1F1F1F"/>
              </w:rPr>
            </w:pPr>
            <w:r>
              <w:rPr>
                <w:rFonts w:hint="default" w:ascii="宋体" w:hAnsi="宋体" w:eastAsia="宋体" w:cs="宋体"/>
                <w:color w:val="1F1F1F"/>
                <w:lang w:val="en-US" w:eastAsia="zh-CN"/>
              </w:rPr>
              <w:t>导出的JSON文件严格遵守医疗互操作标准且结构完整；PDF报告不仅提取了带有推理层叠的截图，还精确地嵌入了时间戳、评价者信息与系统参数，版式无破损与截断。</w:t>
            </w:r>
          </w:p>
        </w:tc>
      </w:tr>
    </w:tbl>
    <w:p w14:paraId="0C3D966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p>
    <w:p w14:paraId="33617DC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p>
    <w:p w14:paraId="797496D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p>
    <w:p w14:paraId="20B088B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p>
    <w:p w14:paraId="1888BD1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p>
    <w:p w14:paraId="6B2D692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p>
    <w:p w14:paraId="49E3DFC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p>
    <w:p w14:paraId="00189AF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p>
    <w:p w14:paraId="27C0E5F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p>
    <w:p w14:paraId="27F2F0E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p>
    <w:p w14:paraId="606A5A7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p>
    <w:p w14:paraId="38DC968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b/>
          <w:bCs/>
          <w:color w:val="1F1F1F"/>
          <w:lang w:val="en-US" w:eastAsia="zh-CN"/>
        </w:rPr>
      </w:pPr>
      <w:r>
        <w:rPr>
          <w:rFonts w:hint="eastAsia" w:ascii="宋体" w:hAnsi="宋体" w:eastAsia="宋体" w:cs="宋体"/>
          <w:b/>
          <w:bCs/>
          <w:color w:val="1F1F1F"/>
          <w:lang w:val="en-US" w:eastAsia="zh-CN"/>
        </w:rPr>
        <w:t>三、系统测试</w:t>
      </w:r>
    </w:p>
    <w:p w14:paraId="0EAF78C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b/>
          <w:bCs/>
          <w:color w:val="1F1F1F"/>
        </w:rPr>
      </w:pPr>
      <w:r>
        <w:rPr>
          <w:rFonts w:hint="default" w:ascii="宋体" w:hAnsi="宋体" w:eastAsia="宋体" w:cs="宋体"/>
          <w:b/>
          <w:bCs/>
          <w:color w:val="1F1F1F"/>
        </w:rPr>
        <w:t>系统测试维度的端到端业务流验证</w:t>
      </w:r>
    </w:p>
    <w:p w14:paraId="109C49F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系统测试将彻底脱离底层代码与微服务的实现细节，从终端用户（在此场景中主要为放射科医生、影像科技师以及系统安全管理员）的视角出发，将部署在类生产环境中的系统视为一个不透明的“黑盒”进行全景探测。通过端到端自动化测试框架（如Cypress或Playwright）进行真实业务轨迹的拟合，可以验证跨越所有层级的长业务链路是否畅通无阻，确保各项功能需求不仅在孤立状态下有效，更在复杂的实际业务组合下表现出高度的一致性与稳定性。</w:t>
      </w:r>
    </w:p>
    <w:p w14:paraId="53E661D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b/>
          <w:bCs/>
          <w:color w:val="1F1F1F"/>
        </w:rPr>
      </w:pPr>
      <w:r>
        <w:rPr>
          <w:rFonts w:hint="default" w:ascii="宋体" w:hAnsi="宋体" w:eastAsia="宋体" w:cs="宋体"/>
          <w:b/>
          <w:bCs/>
          <w:color w:val="1F1F1F"/>
        </w:rPr>
        <w:t>放射科医师常规诊断业务全链路验证</w:t>
      </w:r>
    </w:p>
    <w:p w14:paraId="496A7D5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本系统最核心的使用旅程是医生基于系统的全流程辅助诊断操作。测试需模拟一名已通过身份认证的医生，从接诊患者到出具AI辅助报告的完整闭环。</w:t>
      </w:r>
    </w:p>
    <w:p w14:paraId="227FBA7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测试流程将由自动化脚本驱动：首先，医生导航至“病例管理”列表页，利用筛选组件输入当日日期或特定病患姓名，定位并点击目标病例的“详情”按钮。此时，测试断言系统需迅速跳转并展示该病例的只读概览信息，并且页面下方已自动嵌入并呈现了该病例的检查记录列表。接下来，医生点击其中一项检查的“详情”，跳转至检查记录维度。在此页面，系统不仅需呈现病例与检查的只读融合信息，测试程序还需模拟医生点击上方的“上传影像”按钮，通过虚拟文件选择器传入多张标准的医学影像测试文件。当上传进度条完成后，下方嵌入的影像文件列表必须实时刷新，准确展现新上传文件的文件名、时间、格式以及动态生成的清晰缩略图。</w:t>
      </w:r>
    </w:p>
    <w:p w14:paraId="7503597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业务流继续深入：医生在影像列表中选择一张具有潜在病灶的切片，点击“详情”进入单幅影像操作面板。该面板集中展示了更高维度的上下文信息，并提供“查看原图”与“发起推理”核心操作。测试脚本模拟点击“发起推理”，此时页面应给予友好的处理中状态提示。随后，跳转或定位至关联的推理任务列表，验证刚触发的任务是否已成功创建。医生紧接着进入该“推理任务”的详情页，页面上部应清晰展示溯源的病例、检查与影像缩略图组合信息；中部区域需呈现任务ID、模型版本、发起人等关键稽查元数据；由于这是一个模拟成功的流程，界面将呈现AI推理结果的核心——检测标签与置信度。自动化测试此时将触发“查看推理结果”动作，唤醒内嵌的阅片器组件，断言标注图层已准确无误地覆盖于原图之上进行可视化展示。在确诊后，测试转入页面下方区域，模拟医生在“人工评价”文本域内输入对AI结果的修正或认可意见并保存。最后，脚本触发“导出结果”指令，分别验证系统生成的JSON原生文件流、标注截图包以及最终供存档使用的简要PDF报告是否顺利下载至本地环境，从而标志着整个诊断赋能闭环的圆满结束。</w:t>
      </w:r>
    </w:p>
    <w:tbl>
      <w:tblPr>
        <w:tblStyle w:val="6"/>
        <w:tblW w:w="0" w:type="auto"/>
        <w:tblCellSpacing w:w="15" w:type="dxa"/>
        <w:tblInd w:w="10" w:type="dxa"/>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51"/>
        <w:gridCol w:w="2488"/>
        <w:gridCol w:w="3013"/>
        <w:gridCol w:w="2264"/>
      </w:tblGrid>
      <w:tr w14:paraId="5AEBE1A6">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ED9AE4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业务场景阶段</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F66308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模拟动作与界面流转</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ECCDCD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核心校验断言与E2E预期输出</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DC0CBA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临床业务价值体现</w:t>
            </w:r>
          </w:p>
        </w:tc>
      </w:tr>
      <w:tr w14:paraId="088B539A">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E3343A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入口溯源与上传</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53B905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在病例列表筛选目标，进入详情；在检查列表点击上传并推流文件。</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098292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跨层级导航栏平滑过渡无白屏；上传完成事件触发DOM元素实时响应重绘，新增缩略图清晰可见。</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C95A1A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确保门诊信息与高密度图像数据的无缝接驳，减少技师操作路径断点。</w:t>
            </w:r>
          </w:p>
        </w:tc>
      </w:tr>
      <w:tr w14:paraId="7F8B5990">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C34CA7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AI计算协同</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613090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进入影像详情，点击“发起推理”，观测状态指示器，转入任务详情页。</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658655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任务发起请求得到即时系统确认回执；任务状态流转从处理中变更为成功，关联数据聚合显示精准无误。</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5E0E3D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实现智能算法对医生工作流的静默支持与零摩擦介入。</w:t>
            </w:r>
          </w:p>
        </w:tc>
      </w:tr>
      <w:tr w14:paraId="48225BEA">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909725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结果可视化验证</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80E432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点击“查看推理结果”，激活DICOM阅片器与高亮标注浮层。</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896C19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原图加载零失真；置信度标签及目标框坐标渲染精确；人工评价区域内容成功录入并持久化展示。</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BCEF58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构建可信度量的视觉呈现机制，允许人类专家在环纠偏。</w:t>
            </w:r>
          </w:p>
        </w:tc>
      </w:tr>
      <w:tr w14:paraId="001EF52E">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05C92E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归档与输出闭环</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B578A4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点击“导出结果”按钮。</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E19F75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浏览器成功截获下载流，产出完全合规的结构化JSON负载与图文并茂的终态简要报告。</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0E51D7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确保诊断结论的互操作性及合法电子病历归档能力。</w:t>
            </w:r>
          </w:p>
        </w:tc>
      </w:tr>
    </w:tbl>
    <w:p w14:paraId="2ADB129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b/>
          <w:bCs/>
          <w:color w:val="1F1F1F"/>
        </w:rPr>
      </w:pPr>
      <w:r>
        <w:rPr>
          <w:rFonts w:hint="default" w:ascii="宋体" w:hAnsi="宋体" w:eastAsia="宋体" w:cs="宋体"/>
          <w:b/>
          <w:bCs/>
          <w:color w:val="1F1F1F"/>
        </w:rPr>
        <w:t>系统管理员治理与全局追溯工作流验证</w:t>
      </w:r>
    </w:p>
    <w:p w14:paraId="61B1B24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针对特权用户的操作轨迹构成了系统测试的另一条重要防线。管理员的系统测试侧重于用户生命周期治理与全局风险审计。</w:t>
      </w:r>
    </w:p>
    <w:p w14:paraId="48783CC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在此端到端场景中，测试环境模拟以“系统管理员”身份登入。首先进入专属的“用户管理”列表页，该页面展示所有账号池。测试用例模拟点击“新建”按钮，录入一名新医生的基本凭证信息并分配访问权限；随后模拟编辑操作修改其科室属性。为验证阻断机制，管理员对该账户执行“禁用”操作。此时，测试框架开启另一个独立上下文的浏览器进程，尝试利用该被禁用账号的有效历史Cookie或尝试重新登录，断言系统网关必须执行强行阻拦，页面重定向至“账户已被冻结”的错误页面，彻底切断物理级别的接口访问。</w:t>
      </w:r>
    </w:p>
    <w:p w14:paraId="57C133D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随后，管理员进入“日志审计”核心模块。此列表页负责监控系统内所有的行为轨迹。系统测试要求模拟在过滤器中输入时间段范围、选定特定用户ID以及设定操作类型（如“用户试图越权访问”、“导出患者报告”、“发起AI推理”等）。点击筛选后，系统必须能在包含数万条测试记录的日志池中，以极低的延迟返回精确匹配的历史快照。这些日志的呈现要求完全只读，界面上不可存在任何修改或删除痕迹的交互入口，从根源上保障HIPAA法案所要求的行为防抵赖性与责任可追溯性。</w:t>
      </w:r>
    </w:p>
    <w:tbl>
      <w:tblPr>
        <w:tblStyle w:val="6"/>
        <w:tblW w:w="0" w:type="auto"/>
        <w:tblCellSpacing w:w="15" w:type="dxa"/>
        <w:tblInd w:w="10" w:type="dxa"/>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14"/>
        <w:gridCol w:w="2109"/>
        <w:gridCol w:w="3284"/>
        <w:gridCol w:w="2309"/>
      </w:tblGrid>
      <w:tr w14:paraId="58208CD1">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5313A6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业务场景阶段</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66D05C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模拟动作与界面流转</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9B074C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核心校验断言与E2E预期输出</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4A444C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临床业务价值体现</w:t>
            </w:r>
          </w:p>
        </w:tc>
      </w:tr>
      <w:tr w14:paraId="158ACA35">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85EA93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权限与生命周期管控</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D132E4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管理员访问仅限其使用的路由，新建并随后禁用某一测试医生账户。</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A7FBD3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新建账户最初可用；禁用状态生效后，该账户的后续任何活跃会话与并发请求均被认证网关立刻终结抛弃。</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198BB5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确保医疗机构人员离职或权限变更时，敏感数据的物理隔离防线坚不可摧。</w:t>
            </w:r>
          </w:p>
        </w:tc>
      </w:tr>
      <w:tr w14:paraId="2F735493">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8CEC66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监控与安全审计溯源</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8FFEDA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管理员导航至日志审计面板，采用多维复合条件进行海量日志流检索。</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BBD72C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筛选器响应迅速，返回数据格式包含完备的4W（Who, When, Where, What）审计要素；且严禁对日志有任何修改动作。</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A13975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lang w:val="en-US" w:eastAsia="zh-CN"/>
              </w:rPr>
              <w:t>迎合严格的隐私保护法规审查，为后续数据泄露事件提供确凿的数字取证底本。</w:t>
            </w:r>
          </w:p>
        </w:tc>
      </w:tr>
    </w:tbl>
    <w:p w14:paraId="6751A21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b/>
          <w:bCs/>
          <w:color w:val="1F1F1F"/>
        </w:rPr>
      </w:pPr>
      <w:r>
        <w:rPr>
          <w:rFonts w:hint="default" w:ascii="宋体" w:hAnsi="宋体" w:eastAsia="宋体" w:cs="宋体"/>
          <w:b/>
          <w:bCs/>
          <w:color w:val="1F1F1F"/>
        </w:rPr>
        <w:t>非功能性系统测试：性能基准、安全合规与AI边缘场景专项</w:t>
      </w:r>
    </w:p>
    <w:p w14:paraId="0E1CD4C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在通过了严苛的功能闭环验证后，系统测试必须转向对非功能性需求的极限压测与边界探索。对于处理大体积DICOM矩阵并涉及生命健康决策的医疗软件，其在高压下的响应速度、面对网络攻击时的安全防线，以及AI模型在非理想输入下的鲁棒表现，往往是系统能否真正实现商业化与临床部署的决定性因素。</w:t>
      </w:r>
    </w:p>
    <w:p w14:paraId="547446B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并发负载压测与渲染性能延迟基准</w:t>
      </w:r>
    </w:p>
    <w:p w14:paraId="3DD7E6A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医疗影像生成与调阅呈现出显著的爆发式网络带宽消耗特征。单次胸部CT扫描可能产生数百张切片，体积高达数GB。因此，系统测试必须针对后端传输吞吐率与前端阅片加载延迟设定并验证严格的量化性能红线。</w:t>
      </w:r>
    </w:p>
    <w:p w14:paraId="7DDC5C6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C-STORE吞吐量与并发写入压测：在模拟多台医学影像设备同时向系统“上传影像”的场景中，系统后端必须具备极高的数据吞吐与调度能力。压测框架需模拟省级大型三甲医院早间影像科的业务洪峰，持续向服务网关并发推入大量DICOM文件流。测试断言：系统的C-STORE响应延迟需稳定保持在每幅图像2秒以内完成网络传输与持久化归档。</w:t>
      </w:r>
    </w:p>
    <w:p w14:paraId="56FAAA5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Web Viewer“首图时间”与交互流畅度评估：当医生在“影像详情页”点击调阅原始图像或带有AI检测图层的图像时，前端组件的加载速度直接影响临床诊断节奏。在标准网络带宽环境下，测试需监控“调出并渲染首张完整切片的时间”，其核心指标必须控制在3秒的忍耐边界内。为了达成这一极速体验，测试不仅评估基准时间，还需验证前端是否正确采用了HTTP/2多路复用技术增加并发数据流抓取能力，以及是否合理运用了渐进式Web应用的客户端缓存与预加载策略。</w:t>
      </w:r>
    </w:p>
    <w:p w14:paraId="2C18B72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HIPAA合规性、隐私隔离与数据安全深度探测</w:t>
      </w:r>
    </w:p>
    <w:p w14:paraId="5C9A2EB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由于系统中存储着涵盖患者姓名、性别、年龄及疾病特征等高度敏感的受保护健康信息，系统测试必须严格遵循HIPAA安全与隐私准则实施全方位的穿透防御与合规审查。</w:t>
      </w:r>
    </w:p>
    <w:p w14:paraId="44EA156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敏感数据的脱敏与界面防御机制：测试需验证在影像列表与任务详情等涉及大范围数据曝光的页面中，非授权角色的视图展示是否遵循了最小必要原则。例如，针对临床辅助外包人员，系统界面需具备隐藏或采用星号掩码对部分关键患者身份信息进行前端脱敏的能力；同时，传输到客户端的JSON负载中也不得包含过度冗余的隐秘数据。</w:t>
      </w:r>
    </w:p>
    <w:p w14:paraId="158B4E9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防渗透测试与提权阻断：利用自动化安全工具对系统的所有公开API端点进行黑客式猛攻，重点探测跨站脚本攻击漏洞、跨站请求伪造风险以及JWT令牌的算法降级漏洞。安全专家将模拟获取了一名普通低权限医生的会话凭证，然后恶意篡改网络请求包，尝试访问“/api/admin/users”等系统管理层接口。此时，强大的基于角色访问控制引擎必须发挥效能，瞬间侦测到越权行为，丢弃请求并生成系统级的高危安全预警日志。</w:t>
      </w:r>
    </w:p>
    <w:p w14:paraId="6B34D6C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不可否认的电子审计日志抗篡改验证：在符合HIPAA及FDA联邦监管要求下，审计不仅是记录，更是不可否认的法庭级数字证据。专项测试将验证底层数据库层面对于日志数据表的隔离策略，即便是具备数据库读写权限的中间件运维账户，也绝不具备在操作层面执行UPDATE或DELETE指令删改日志表的能力。此类数据应当受惠于一次写入多次读取存储架构的保护，任何试图擦除越权操作痕迹的尝试都将</w:t>
      </w:r>
      <w:r>
        <w:rPr>
          <w:rFonts w:hint="eastAsia" w:ascii="宋体" w:hAnsi="宋体" w:eastAsia="宋体" w:cs="宋体"/>
          <w:color w:val="1F1F1F"/>
          <w:lang w:val="en-US" w:eastAsia="zh-CN"/>
        </w:rPr>
        <w:t>不被允许</w:t>
      </w:r>
      <w:r>
        <w:rPr>
          <w:rFonts w:hint="default" w:ascii="宋体" w:hAnsi="宋体" w:eastAsia="宋体" w:cs="宋体"/>
          <w:color w:val="1F1F1F"/>
        </w:rPr>
        <w:t>。</w:t>
      </w:r>
    </w:p>
    <w:p w14:paraId="5AE9B72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b/>
          <w:bCs/>
          <w:color w:val="1F1F1F"/>
        </w:rPr>
      </w:pPr>
      <w:r>
        <w:rPr>
          <w:rFonts w:hint="default" w:ascii="宋体" w:hAnsi="宋体" w:eastAsia="宋体" w:cs="宋体"/>
          <w:b/>
          <w:bCs/>
          <w:color w:val="1F1F1F"/>
        </w:rPr>
        <w:t>人工智能推理管道的黑盒边缘场景与临床容错测试</w:t>
      </w:r>
    </w:p>
    <w:p w14:paraId="4D335CA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医疗AI软件的特殊性在于，其核心决策逻辑是由深层神经网络基于特定分布的训练数据集黑盒映射而来的，往往缺乏经典的逻辑可解释性。当部署于真实且存在高度异构性的临床物理环境中时，设备噪音、技师操作不规范或极其罕见的复杂病理形态构成的“长尾数据”，极易导致模型输出荒谬甚至危险的结果。因此，这部分必须作为单独的系统边界条件进行穷举与抗压测试。</w:t>
      </w:r>
    </w:p>
    <w:p w14:paraId="4EEB4DB3">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default" w:ascii="宋体" w:hAnsi="宋体" w:eastAsia="宋体" w:cs="宋体"/>
          <w:color w:val="1F1F1F"/>
        </w:rPr>
      </w:pPr>
      <w:r>
        <w:rPr>
          <w:rFonts w:hint="default" w:ascii="宋体" w:hAnsi="宋体" w:eastAsia="宋体" w:cs="宋体"/>
          <w:color w:val="1F1F1F"/>
        </w:rPr>
        <w:t>概率置信度与模型衰减风险防护：系统测试不仅要输入具备明显病灶的“简单”样本，更要输入极具迷惑性（如伪影严重）的对抗样本。观察当AI模型对检测目标的置信度大幅下降（例如概率分数低至20%）时，系统前端的阈值过滤模块能否正确生效——是选择将其在用户界面上予以抛弃隐藏，还是通过特殊的UI渲染策略（如明显的橙色警示色或虚线外框）提示医生这是个“高不确定性”建议，以此防止低置信度的过拟合误报扰乱医生的注意力资源。</w:t>
      </w:r>
    </w:p>
    <w:p w14:paraId="3727004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eastAsia" w:ascii="宋体" w:hAnsi="宋体" w:eastAsia="宋体" w:cs="宋体"/>
          <w:color w:val="1F1F1F"/>
          <w:lang w:val="en-US" w:eastAsia="zh-CN"/>
        </w:rPr>
      </w:pPr>
      <w:r>
        <w:rPr>
          <w:rFonts w:hint="default" w:ascii="宋体" w:hAnsi="宋体" w:eastAsia="宋体" w:cs="宋体"/>
          <w:color w:val="1F1F1F"/>
        </w:rPr>
        <w:t>边界框重叠与视觉灾难抑制：在诸如弥漫性肺结节或密集的牙科龋齿等复杂病灶图像上，不佳的AI模型输出可能在局部区域疯狂叠加数十个重合的检测框。为了保障可视化的清晰度，测试需验证系统后端或前端渲染管线中是否集成了有效的非极大值抑制算法或其他融合过滤策略。当接收到杂乱无章的大量重叠坐标系JSON流时，系统需智能地将代表同一病灶实体的多个冗余框抑制或合并为具有最高置信度的单一清晰指示框，确保界面始终保持极致的临床整洁性。</w:t>
      </w:r>
    </w:p>
    <w:p w14:paraId="662C75CD">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jc w:val="left"/>
        <w:rPr>
          <w:rFonts w:hint="eastAsia" w:ascii="宋体" w:hAnsi="宋体" w:eastAsia="宋体" w:cs="宋体"/>
          <w:color w:val="1F1F1F"/>
          <w:lang w:eastAsia="zh-CN"/>
        </w:rPr>
      </w:pPr>
      <w:r>
        <w:rPr>
          <w:rFonts w:hint="default" w:ascii="宋体" w:hAnsi="宋体" w:eastAsia="宋体" w:cs="宋体"/>
          <w:color w:val="1F1F1F"/>
        </w:rPr>
        <w:t>假阴性发现机制与人在环纠偏：面对极端病理变异导致AI完全未检出任何特征（典型的假阴性），测试需模拟这种“AI失灵”的静默场景。此时，测试的重心转移至“详情页”中“人工评价”系统的健壮性。系统必须保证医生能够顺畅无阻地在零AI建议的图层之上，独立作出临床决断并输入全新的人工干预评价文字。此功能构建了软件自我进化至关重要的反馈闭环，不仅为后续的模型重新调优与偏差矫正提供了最宝贵的真实世界数据样本池，也</w:t>
      </w:r>
      <w:r>
        <w:rPr>
          <w:rFonts w:hint="eastAsia" w:ascii="宋体" w:hAnsi="宋体" w:eastAsia="宋体" w:cs="宋体"/>
          <w:color w:val="1F1F1F"/>
          <w:lang w:val="en-US" w:eastAsia="zh-CN"/>
        </w:rPr>
        <w:t>确保了</w:t>
      </w:r>
      <w:r>
        <w:rPr>
          <w:rFonts w:hint="default" w:ascii="宋体" w:hAnsi="宋体" w:eastAsia="宋体" w:cs="宋体"/>
          <w:color w:val="1F1F1F"/>
        </w:rPr>
        <w:t>医疗AI系统守住患者</w:t>
      </w:r>
      <w:r>
        <w:rPr>
          <w:rFonts w:hint="eastAsia" w:ascii="宋体" w:hAnsi="宋体" w:eastAsia="宋体" w:cs="宋体"/>
          <w:color w:val="1F1F1F"/>
          <w:lang w:val="en-US" w:eastAsia="zh-CN"/>
        </w:rPr>
        <w:t>的</w:t>
      </w:r>
      <w:bookmarkStart w:id="0" w:name="_GoBack"/>
      <w:bookmarkEnd w:id="0"/>
      <w:r>
        <w:rPr>
          <w:rFonts w:hint="default" w:ascii="宋体" w:hAnsi="宋体" w:eastAsia="宋体" w:cs="宋体"/>
          <w:color w:val="1F1F1F"/>
        </w:rPr>
        <w:t>安全底线。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B3267E"/>
    <w:rsid w:val="021E1686"/>
    <w:rsid w:val="17FD3A54"/>
    <w:rsid w:val="28B3267E"/>
    <w:rsid w:val="35B81E73"/>
    <w:rsid w:val="35C77BB6"/>
    <w:rsid w:val="636D0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7321</Words>
  <Characters>7983</Characters>
  <Lines>0</Lines>
  <Paragraphs>0</Paragraphs>
  <TotalTime>101</TotalTime>
  <ScaleCrop>false</ScaleCrop>
  <LinksUpToDate>false</LinksUpToDate>
  <CharactersWithSpaces>8008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2026-03-12T01:04:00Z</dcterms:created>
  <dc:creator>Firefly</dc:creator>
  <cp:lastModifiedBy>Firefly</cp:lastModifiedBy>
  <dcterms:modified xsi:type="dcterms:W3CDTF">2026-03-18T00:13:49Z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E4520D58D89341728FFB541CBAC20027_11</vt:lpwstr>
  </property>
  <property fmtid="{D5CDD505-2E9C-101B-9397-08002B2CF9AE}" pid="4" name="KSOTemplateDocerSaveRecord">
    <vt:lpwstr>eyJoZGlkIjoiMGY0NjIwMDFkMzAzYjhlYjFmYzVlNjZkZjRiN2M1YzMiLCJ1c2VySWQiOiIyNTE5ODMyNDQifQ==</vt:lpwstr>
  </property>
</Properties>
</file>