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color w:val="1F4E79"/>
          <w:sz w:val="40"/>
        </w:rPr>
        <w:t>Technical Change Specification</w:t>
        <w:br/>
      </w:r>
      <w:r>
        <w:rPr>
          <w:i/>
          <w:sz w:val="26"/>
        </w:rPr>
        <w:t>Processed EEG (pEEG) Hip-Fracture Cost-Effectiveness Model</w:t>
      </w:r>
    </w:p>
    <w:tbl>
      <w:tblPr>
        <w:tblStyle w:val="TableGrid"/>
        <w:tblW w:type="auto" w:w="0"/>
        <w:jc w:val="center"/>
        <w:tblLayout w:type="fixed"/>
        <w:tblLook w:firstColumn="1" w:firstRow="1" w:lastColumn="0" w:lastRow="0" w:noHBand="0" w:noVBand="1" w:val="04A0"/>
      </w:tblPr>
      <w:tblGrid>
        <w:gridCol w:w="2304"/>
        <w:gridCol w:w="8352"/>
      </w:tblGrid>
      <w:tr>
        <w:tc>
          <w:tcPr>
            <w:tcW w:type="dxa" w:w="4968"/>
            <w:vAlign w:val="center"/>
            <w:tcMar>
              <w:top w:w="80" w:type="dxa"/>
              <w:start w:w="100" w:type="dxa"/>
              <w:bottom w:w="80" w:type="dxa"/>
              <w:end w:w="100" w:type="dxa"/>
            </w:tcMar>
            <w:shd w:fill="EAF2F8"/>
          </w:tcPr>
          <w:p>
            <w:r>
              <w:rPr>
                <w:b/>
              </w:rPr>
              <w:t>Audience</w:t>
            </w:r>
          </w:p>
        </w:tc>
        <w:tc>
          <w:tcPr>
            <w:tcW w:type="dxa" w:w="4968"/>
            <w:vAlign w:val="center"/>
            <w:tcMar>
              <w:top w:w="80" w:type="dxa"/>
              <w:start w:w="100" w:type="dxa"/>
              <w:bottom w:w="80" w:type="dxa"/>
              <w:end w:w="100" w:type="dxa"/>
            </w:tcMar>
            <w:shd w:fill="EAF2F8"/>
          </w:tcPr>
          <w:p>
            <w:r>
              <w:t>Computer science student or engineer modifying the existing Python Markov model.</w:t>
            </w:r>
          </w:p>
        </w:tc>
      </w:tr>
      <w:tr>
        <w:tc>
          <w:tcPr>
            <w:tcW w:type="dxa" w:w="4968"/>
            <w:vAlign w:val="center"/>
            <w:tcMar>
              <w:top w:w="80" w:type="dxa"/>
              <w:start w:w="100" w:type="dxa"/>
              <w:bottom w:w="80" w:type="dxa"/>
              <w:end w:w="100" w:type="dxa"/>
            </w:tcMar>
            <w:shd w:fill="EAF2F8"/>
          </w:tcPr>
          <w:p>
            <w:r>
              <w:rPr>
                <w:b/>
              </w:rPr>
              <w:t>Goal</w:t>
            </w:r>
          </w:p>
        </w:tc>
        <w:tc>
          <w:tcPr>
            <w:tcW w:type="dxa" w:w="4968"/>
            <w:vAlign w:val="center"/>
            <w:tcMar>
              <w:top w:w="80" w:type="dxa"/>
              <w:start w:w="100" w:type="dxa"/>
              <w:bottom w:w="80" w:type="dxa"/>
              <w:end w:w="100" w:type="dxa"/>
            </w:tcMar>
            <w:shd w:fill="EAF2F8"/>
          </w:tcPr>
          <w:p>
            <w:r>
              <w:t>Refactor the current monthly long-horizon model into a delirium-centered model with a 180-day base case, optional 1-year scenario, and cycle lengths that match the clinical time scale of postoperative delirium and early recovery.</w:t>
            </w:r>
          </w:p>
        </w:tc>
      </w:tr>
    </w:tbl>
    <w:p/>
    <w:p>
      <w:pPr>
        <w:pStyle w:val="Heading1"/>
        <w:spacing w:before="160" w:after="80"/>
      </w:pPr>
      <w:r>
        <w:rPr>
          <w:color w:val="1F4E79"/>
        </w:rPr>
        <w:t>1. Why the model should be changed</w:t>
      </w:r>
    </w:p>
    <w:p>
      <w:r>
        <w:rPr>
          <w:b/>
        </w:rPr>
        <w:t xml:space="preserve">Current state of the uploaded code. </w:t>
      </w:r>
      <w:r>
        <w:t>The script uses monthly cycles, applies the delirium event at model start, converts 180-day mortality to a constant monthly probability over 6 months, then carries utility and survival differences forward through 1-, 5-, and 10-year horizons. Costs are mostly front-loaded: the model applies a one-time delirium episode cost and a one-time pEEG case cost, while long-horizon differences are largely driven by extrapolated utilities and mortality.</w:t>
      </w:r>
    </w:p>
    <w:p>
      <w:pPr>
        <w:pStyle w:val="ListBullet"/>
        <w:spacing w:after="60"/>
      </w:pPr>
      <w:r>
        <w:rPr>
          <w:sz w:val="21"/>
        </w:rPr>
        <w:t>This is acceptable for a rough exploratory model, but it is not the cleanest design for postoperative delirium, which is an acute event occurring over hours to days with major downstream consequences over weeks to months.</w:t>
      </w:r>
    </w:p>
    <w:p>
      <w:pPr>
        <w:pStyle w:val="ListBullet"/>
        <w:spacing w:after="60"/>
      </w:pPr>
      <w:r>
        <w:rPr>
          <w:sz w:val="21"/>
        </w:rPr>
        <w:t>The most defensible base case is 180 days because the clinical pathway of interest includes acute delirium, discharge destination, post-acute rehabilitation, readmission risk, and 180-day mortality.</w:t>
      </w:r>
    </w:p>
    <w:p>
      <w:pPr>
        <w:pStyle w:val="ListBullet"/>
        <w:spacing w:after="60"/>
      </w:pPr>
      <w:r>
        <w:rPr>
          <w:sz w:val="21"/>
        </w:rPr>
        <w:t>A 1-year horizon can be retained as a scenario analysis if the team wants to explore whether the effect persists beyond the directly supported follow-up period.</w:t>
      </w:r>
    </w:p>
    <w:p>
      <w:pPr>
        <w:pStyle w:val="ListBullet"/>
        <w:spacing w:after="60"/>
      </w:pPr>
      <w:r>
        <w:rPr>
          <w:sz w:val="21"/>
        </w:rPr>
        <w:t>Five-year and ten-year horizons should be removed from the main analysis unless additional long-term structure is added, such as persistent institutionalization states, recurrent costs, or validated long-term delirium-related mortality assumptions.</w:t>
      </w:r>
    </w:p>
    <w:p>
      <w:pPr>
        <w:pStyle w:val="Heading1"/>
        <w:spacing w:before="160" w:after="80"/>
      </w:pPr>
      <w:r>
        <w:rPr>
          <w:color w:val="1F4E79"/>
        </w:rPr>
        <w:t>2. Required target design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Mar>
              <w:top w:w="80" w:type="dxa"/>
              <w:start w:w="100" w:type="dxa"/>
              <w:bottom w:w="80" w:type="dxa"/>
              <w:end w:w="100" w:type="dxa"/>
            </w:tcMar>
            <w:shd w:fill="D9EAF7"/>
          </w:tcPr>
          <w:p>
            <w:r>
              <w:rPr>
                <w:b/>
              </w:rPr>
              <w:t>Component</w:t>
            </w:r>
          </w:p>
        </w:tc>
        <w:tc>
          <w:tcPr>
            <w:tcW w:type="dxa" w:w="2484"/>
            <w:vAlign w:val="center"/>
            <w:tcMar>
              <w:top w:w="80" w:type="dxa"/>
              <w:start w:w="100" w:type="dxa"/>
              <w:bottom w:w="80" w:type="dxa"/>
              <w:end w:w="100" w:type="dxa"/>
            </w:tcMar>
            <w:shd w:fill="D9EAF7"/>
          </w:tcPr>
          <w:p>
            <w:r>
              <w:rPr>
                <w:b/>
              </w:rPr>
              <w:t>Recommended choice</w:t>
            </w:r>
          </w:p>
        </w:tc>
        <w:tc>
          <w:tcPr>
            <w:tcW w:type="dxa" w:w="2484"/>
            <w:vAlign w:val="center"/>
            <w:tcMar>
              <w:top w:w="80" w:type="dxa"/>
              <w:start w:w="100" w:type="dxa"/>
              <w:bottom w:w="80" w:type="dxa"/>
              <w:end w:w="100" w:type="dxa"/>
            </w:tcMar>
            <w:shd w:fill="D9EAF7"/>
          </w:tcPr>
          <w:p>
            <w:r>
              <w:rPr>
                <w:b/>
              </w:rPr>
              <w:t>Reason</w:t>
            </w:r>
          </w:p>
        </w:tc>
        <w:tc>
          <w:tcPr>
            <w:tcW w:type="dxa" w:w="2484"/>
            <w:vAlign w:val="center"/>
            <w:tcMar>
              <w:top w:w="80" w:type="dxa"/>
              <w:start w:w="100" w:type="dxa"/>
              <w:bottom w:w="80" w:type="dxa"/>
              <w:end w:w="100" w:type="dxa"/>
            </w:tcMar>
            <w:shd w:fill="D9EAF7"/>
          </w:tcPr>
          <w:p>
            <w:r>
              <w:rPr>
                <w:b/>
              </w:rPr>
              <w:t>Priority</w:t>
            </w:r>
          </w:p>
        </w:tc>
      </w:tr>
      <w:tr>
        <w:tc>
          <w:tcPr>
            <w:tcW w:type="dxa" w:w="2484"/>
          </w:tcPr>
          <w:p>
            <w:r>
              <w:t>Primary horizon</w:t>
            </w:r>
          </w:p>
        </w:tc>
        <w:tc>
          <w:tcPr>
            <w:tcW w:type="dxa" w:w="2484"/>
          </w:tcPr>
          <w:p>
            <w:r>
              <w:t>180 days</w:t>
            </w:r>
          </w:p>
        </w:tc>
        <w:tc>
          <w:tcPr>
            <w:tcW w:type="dxa" w:w="2484"/>
          </w:tcPr>
          <w:p>
            <w:r>
              <w:t>Best aligned with delirium, discharge destination, rehab use, readmission, and mortality data.</w:t>
            </w:r>
          </w:p>
        </w:tc>
        <w:tc>
          <w:tcPr>
            <w:tcW w:type="dxa" w:w="2484"/>
          </w:tcPr>
          <w:p>
            <w:r>
              <w:t>Required</w:t>
            </w:r>
          </w:p>
        </w:tc>
      </w:tr>
      <w:tr>
        <w:tc>
          <w:tcPr>
            <w:tcW w:type="dxa" w:w="2484"/>
          </w:tcPr>
          <w:p>
            <w:r>
              <w:t>Secondary horizon</w:t>
            </w:r>
          </w:p>
        </w:tc>
        <w:tc>
          <w:tcPr>
            <w:tcW w:type="dxa" w:w="2484"/>
          </w:tcPr>
          <w:p>
            <w:r>
              <w:t>1 year</w:t>
            </w:r>
          </w:p>
        </w:tc>
        <w:tc>
          <w:tcPr>
            <w:tcW w:type="dxa" w:w="2484"/>
          </w:tcPr>
          <w:p>
            <w:r>
              <w:t>Reasonable scenario analysis for modest extrapolation.</w:t>
            </w:r>
          </w:p>
        </w:tc>
        <w:tc>
          <w:tcPr>
            <w:tcW w:type="dxa" w:w="2484"/>
          </w:tcPr>
          <w:p>
            <w:r>
              <w:t>Recommended</w:t>
            </w:r>
          </w:p>
        </w:tc>
      </w:tr>
      <w:tr>
        <w:tc>
          <w:tcPr>
            <w:tcW w:type="dxa" w:w="2484"/>
          </w:tcPr>
          <w:p>
            <w:r>
              <w:t>Main cycle length</w:t>
            </w:r>
          </w:p>
        </w:tc>
        <w:tc>
          <w:tcPr>
            <w:tcW w:type="dxa" w:w="2484"/>
          </w:tcPr>
          <w:p>
            <w:r>
              <w:t>1 week for first 12 weeks, then 1 month to day 180</w:t>
            </w:r>
          </w:p>
        </w:tc>
        <w:tc>
          <w:tcPr>
            <w:tcW w:type="dxa" w:w="2484"/>
          </w:tcPr>
          <w:p>
            <w:r>
              <w:t>Delirium and discharge transitions are too fast for a single monthly acute model; weekly cycles reduce distortion.</w:t>
            </w:r>
          </w:p>
        </w:tc>
        <w:tc>
          <w:tcPr>
            <w:tcW w:type="dxa" w:w="2484"/>
          </w:tcPr>
          <w:p>
            <w:r>
              <w:t>Strongly recommended</w:t>
            </w:r>
          </w:p>
        </w:tc>
      </w:tr>
      <w:tr>
        <w:tc>
          <w:tcPr>
            <w:tcW w:type="dxa" w:w="2484"/>
          </w:tcPr>
          <w:p>
            <w:r>
              <w:t>Simpler fallback</w:t>
            </w:r>
          </w:p>
        </w:tc>
        <w:tc>
          <w:tcPr>
            <w:tcW w:type="dxa" w:w="2484"/>
          </w:tcPr>
          <w:p>
            <w:r>
              <w:t>30-day cycles for 6 cycles</w:t>
            </w:r>
          </w:p>
        </w:tc>
        <w:tc>
          <w:tcPr>
            <w:tcW w:type="dxa" w:w="2484"/>
          </w:tcPr>
          <w:p>
            <w:r>
              <w:t>Acceptable if coding time is limited, but less precise for delirium timing and discharge flow.</w:t>
            </w:r>
          </w:p>
        </w:tc>
        <w:tc>
          <w:tcPr>
            <w:tcW w:type="dxa" w:w="2484"/>
          </w:tcPr>
          <w:p>
            <w:r>
              <w:t>Acceptable fallback</w:t>
            </w:r>
          </w:p>
        </w:tc>
      </w:tr>
      <w:tr>
        <w:tc>
          <w:tcPr>
            <w:tcW w:type="dxa" w:w="2484"/>
          </w:tcPr>
          <w:p>
            <w:r>
              <w:t>5- and 10-year outputs</w:t>
            </w:r>
          </w:p>
        </w:tc>
        <w:tc>
          <w:tcPr>
            <w:tcW w:type="dxa" w:w="2484"/>
          </w:tcPr>
          <w:p>
            <w:r>
              <w:t>Remove from base manuscript</w:t>
            </w:r>
          </w:p>
        </w:tc>
        <w:tc>
          <w:tcPr>
            <w:tcW w:type="dxa" w:w="2484"/>
          </w:tcPr>
          <w:p>
            <w:r>
              <w:t>Current model does not structurally justify long-term extrapolation.</w:t>
            </w:r>
          </w:p>
        </w:tc>
        <w:tc>
          <w:tcPr>
            <w:tcW w:type="dxa" w:w="2484"/>
          </w:tcPr>
          <w:p>
            <w:r>
              <w:t>Required</w:t>
            </w:r>
          </w:p>
        </w:tc>
      </w:tr>
      <w:tr>
        <w:tc>
          <w:tcPr>
            <w:tcW w:type="dxa" w:w="2484"/>
          </w:tcPr>
          <w:p>
            <w:r>
              <w:t>Perspective</w:t>
            </w:r>
          </w:p>
        </w:tc>
        <w:tc>
          <w:tcPr>
            <w:tcW w:type="dxa" w:w="2484"/>
          </w:tcPr>
          <w:p>
            <w:r>
              <w:t>Hospital perspective</w:t>
            </w:r>
          </w:p>
        </w:tc>
        <w:tc>
          <w:tcPr>
            <w:tcW w:type="dxa" w:w="2484"/>
          </w:tcPr>
          <w:p>
            <w:r>
              <w:t>Implemented costs are direct medical system costs, not patient or societal costs.</w:t>
            </w:r>
          </w:p>
        </w:tc>
        <w:tc>
          <w:tcPr>
            <w:tcW w:type="dxa" w:w="2484"/>
          </w:tcPr>
          <w:p>
            <w:r>
              <w:t>Required</w:t>
            </w:r>
          </w:p>
        </w:tc>
      </w:tr>
    </w:tbl>
    <w:p/>
    <w:p>
      <w:pPr>
        <w:pStyle w:val="Heading1"/>
        <w:spacing w:before="160" w:after="80"/>
      </w:pPr>
      <w:r>
        <w:rPr>
          <w:color w:val="1F4E79"/>
        </w:rPr>
        <w:t>3. Recommended model architecture</w:t>
      </w:r>
    </w:p>
    <w:p>
      <w:pPr>
        <w:pStyle w:val="Heading2"/>
        <w:spacing w:before="160" w:after="80"/>
      </w:pPr>
      <w:r>
        <w:rPr>
          <w:color w:val="366092"/>
        </w:rPr>
        <w:t>3.1 Preferred approach: piecewise state-transition model</w:t>
      </w:r>
    </w:p>
    <w:p>
      <w:pPr>
        <w:pStyle w:val="ListBullet"/>
        <w:spacing w:after="60"/>
      </w:pPr>
      <w:r>
        <w:rPr>
          <w:sz w:val="21"/>
        </w:rPr>
        <w:t>Phase A: early postoperative phase, day 0 to day 84 (12 weeks), using weekly cycles.</w:t>
      </w:r>
    </w:p>
    <w:p>
      <w:pPr>
        <w:pStyle w:val="ListBullet"/>
        <w:spacing w:after="60"/>
      </w:pPr>
      <w:r>
        <w:rPr>
          <w:sz w:val="21"/>
        </w:rPr>
        <w:t>Phase B: late post-acute phase, day 85 to day 180, using monthly cycles or two 48-day cycles if you want exact 180-day closure.</w:t>
      </w:r>
    </w:p>
    <w:p>
      <w:pPr>
        <w:pStyle w:val="ListBullet"/>
        <w:spacing w:after="60"/>
      </w:pPr>
      <w:r>
        <w:rPr>
          <w:sz w:val="21"/>
        </w:rPr>
        <w:t>The intervention effect of pEEG should occur only through the delirium node in the acute period unless the team has evidence for additional pathways.</w:t>
      </w:r>
    </w:p>
    <w:p>
      <w:pPr>
        <w:pStyle w:val="ListBullet"/>
        <w:spacing w:after="60"/>
      </w:pPr>
      <w:r>
        <w:rPr>
          <w:sz w:val="21"/>
        </w:rPr>
        <w:t>Mortality, rehab disposition, and readmission should remain conditional on delirium history during the supported follow-up period.</w:t>
      </w:r>
    </w:p>
    <w:p>
      <w:pPr>
        <w:pStyle w:val="Heading2"/>
        <w:spacing w:before="160" w:after="80"/>
      </w:pPr>
      <w:r>
        <w:rPr>
          <w:color w:val="366092"/>
        </w:rPr>
        <w:t>3.2 Minimum state set</w:t>
      </w:r>
    </w:p>
    <w:p>
      <w:pPr>
        <w:pStyle w:val="ListBullet"/>
        <w:spacing w:after="60"/>
      </w:pPr>
      <w:r>
        <w:rPr>
          <w:sz w:val="21"/>
        </w:rPr>
        <w:t>Acute postoperative without delirium</w:t>
      </w:r>
    </w:p>
    <w:p>
      <w:pPr>
        <w:pStyle w:val="ListBullet"/>
        <w:spacing w:after="60"/>
      </w:pPr>
      <w:r>
        <w:rPr>
          <w:sz w:val="21"/>
        </w:rPr>
        <w:t>Acute postoperative with delirium</w:t>
      </w:r>
    </w:p>
    <w:p>
      <w:pPr>
        <w:pStyle w:val="ListBullet"/>
        <w:spacing w:after="60"/>
      </w:pPr>
      <w:r>
        <w:rPr>
          <w:sz w:val="21"/>
        </w:rPr>
        <w:t>Home recovery without delirium history</w:t>
      </w:r>
    </w:p>
    <w:p>
      <w:pPr>
        <w:pStyle w:val="ListBullet"/>
        <w:spacing w:after="60"/>
      </w:pPr>
      <w:r>
        <w:rPr>
          <w:sz w:val="21"/>
        </w:rPr>
        <w:t>Home recovery with delirium history</w:t>
      </w:r>
    </w:p>
    <w:p>
      <w:pPr>
        <w:pStyle w:val="ListBullet"/>
        <w:spacing w:after="60"/>
      </w:pPr>
      <w:r>
        <w:rPr>
          <w:sz w:val="21"/>
        </w:rPr>
        <w:t>Facility / rehabilitation without delirium history</w:t>
      </w:r>
    </w:p>
    <w:p>
      <w:pPr>
        <w:pStyle w:val="ListBullet"/>
        <w:spacing w:after="60"/>
      </w:pPr>
      <w:r>
        <w:rPr>
          <w:sz w:val="21"/>
        </w:rPr>
        <w:t>Facility / rehabilitation with delirium history</w:t>
      </w:r>
    </w:p>
    <w:p>
      <w:pPr>
        <w:pStyle w:val="ListBullet"/>
        <w:spacing w:after="60"/>
      </w:pPr>
      <w:r>
        <w:rPr>
          <w:sz w:val="21"/>
        </w:rPr>
        <w:t>Readmitted</w:t>
      </w:r>
    </w:p>
    <w:p>
      <w:pPr>
        <w:pStyle w:val="ListBullet"/>
        <w:spacing w:after="60"/>
      </w:pPr>
      <w:r>
        <w:rPr>
          <w:sz w:val="21"/>
        </w:rPr>
        <w:t>Death</w:t>
      </w:r>
    </w:p>
    <w:p>
      <w:pPr>
        <w:pStyle w:val="Heading2"/>
        <w:spacing w:before="160" w:after="80"/>
      </w:pPr>
      <w:r>
        <w:rPr>
          <w:color w:val="366092"/>
        </w:rPr>
        <w:t>3.3 Transition logic</w:t>
      </w:r>
    </w:p>
    <w:p>
      <w:pPr>
        <w:pStyle w:val="ListNumber"/>
        <w:spacing w:after="60"/>
      </w:pPr>
      <w:r>
        <w:rPr>
          <w:sz w:val="21"/>
        </w:rPr>
        <w:t>At time zero, assign delirium probability by strategy: p_delirium_usual for usual anesthesia and p_delirium_peeg for pEEG-guided anesthesia.</w:t>
      </w:r>
    </w:p>
    <w:p>
      <w:pPr>
        <w:pStyle w:val="ListNumber"/>
        <w:spacing w:after="60"/>
      </w:pPr>
      <w:r>
        <w:rPr>
          <w:sz w:val="21"/>
        </w:rPr>
        <w:t>During the first acute cycle, apply strategy-specific delirium incidence and assign immediate delirium-related cost and any acute utility decrement.</w:t>
      </w:r>
    </w:p>
    <w:p>
      <w:pPr>
        <w:pStyle w:val="ListNumber"/>
        <w:spacing w:after="60"/>
      </w:pPr>
      <w:r>
        <w:rPr>
          <w:sz w:val="21"/>
        </w:rPr>
        <w:t>By the end of the acute discharge window, route survivors to home versus rehabilitation/facility based on delirium status.</w:t>
      </w:r>
    </w:p>
    <w:p>
      <w:pPr>
        <w:pStyle w:val="ListNumber"/>
        <w:spacing w:after="60"/>
      </w:pPr>
      <w:r>
        <w:rPr>
          <w:sz w:val="21"/>
        </w:rPr>
        <w:t>During follow-up cycles, allow death and readmission from home or rehabilitation/facility states. Decide whether readmission is a temporary tunnel state or a recurrent event counter with a one-cycle cost penalty.</w:t>
      </w:r>
    </w:p>
    <w:p>
      <w:pPr>
        <w:pStyle w:val="ListNumber"/>
        <w:spacing w:after="60"/>
      </w:pPr>
      <w:r>
        <w:rPr>
          <w:sz w:val="21"/>
        </w:rPr>
        <w:t>At day 180, compute total cost, QALYs, delirium cases, rehab discharges, readmissions, and deaths.</w:t>
      </w:r>
    </w:p>
    <w:p>
      <w:pPr>
        <w:pStyle w:val="Heading1"/>
        <w:spacing w:before="160" w:after="80"/>
      </w:pPr>
      <w:r>
        <w:rPr>
          <w:color w:val="1F4E79"/>
        </w:rPr>
        <w:t>4. Concrete coding changes</w:t>
      </w:r>
    </w:p>
    <w:p>
      <w:pPr>
        <w:pStyle w:val="Heading2"/>
        <w:spacing w:before="160" w:after="80"/>
      </w:pPr>
      <w:r>
        <w:rPr>
          <w:color w:val="366092"/>
        </w:rPr>
        <w:t>4.1 Remove the current hard-wired year loop</w:t>
      </w:r>
    </w:p>
    <w:p>
      <w:r>
        <w:rPr>
          <w:b/>
        </w:rPr>
        <w:t xml:space="preserve">Current pattern: </w:t>
      </w:r>
      <w:r>
        <w:t>for years in [1, 5, 10]</w:t>
      </w:r>
    </w:p>
    <w:p>
      <w:r>
        <w:rPr>
          <w:b/>
        </w:rPr>
        <w:t xml:space="preserve">Replace with: </w:t>
      </w:r>
      <w:r>
        <w:t>one primary 180-day run and one optional 365-day scenario run.</w:t>
      </w:r>
    </w:p>
    <w:tbl>
      <w:tblPr>
        <w:tblW w:type="auto" w:w="0"/>
        <w:jc w:val="center"/>
        <w:tblLayout w:type="autofit"/>
        <w:tblLook w:firstColumn="1" w:firstRow="1" w:lastColumn="0" w:lastRow="0" w:noHBand="0" w:noVBand="1" w:val="04A0"/>
      </w:tblPr>
      <w:tblGrid>
        <w:gridCol w:w="9936"/>
      </w:tblGrid>
      <w:tr>
        <w:tc>
          <w:tcPr>
            <w:tcW w:type="dxa" w:w="9936"/>
            <w:shd w:fill="F5F7FA"/>
            <w:tcMar>
              <w:top w:w="120" w:type="dxa"/>
              <w:start w:w="140" w:type="dxa"/>
              <w:bottom w:w="120" w:type="dxa"/>
              <w:end w:w="140" w:type="dxa"/>
            </w:tcMar>
          </w:tcPr>
          <w:p>
            <w:pPr>
              <w:spacing w:before="40" w:after="40"/>
            </w:pPr>
            <w:r>
              <w:rPr>
                <w:rFonts w:ascii="Courier New" w:hAnsi="Courier New" w:eastAsia="Courier New"/>
                <w:sz w:val="18"/>
              </w:rPr>
              <w:t>HORIZONS = [</w:t>
              <w:br/>
              <w:t xml:space="preserve">    {"name": "180d_base", "days": 180},</w:t>
              <w:br/>
              <w:t xml:space="preserve">    {"name": "1y_scenario", "days": 365},</w:t>
              <w:br/>
              <w:t>]</w:t>
            </w:r>
          </w:p>
        </w:tc>
      </w:tr>
    </w:tbl>
    <w:p/>
    <w:p>
      <w:pPr>
        <w:pStyle w:val="Heading2"/>
        <w:spacing w:before="160" w:after="80"/>
      </w:pPr>
      <w:r>
        <w:rPr>
          <w:color w:val="366092"/>
        </w:rPr>
        <w:t>4.2 Generalize cycle handling</w:t>
      </w:r>
    </w:p>
    <w:p>
      <w:r>
        <w:rPr>
          <w:b/>
        </w:rPr>
        <w:t xml:space="preserve">Do not encode cycles as years * 12. </w:t>
      </w:r>
      <w:r>
        <w:t>Instead, define an explicit cycle schedule so the model can run weekly early cycles and monthly later cycles.</w:t>
      </w:r>
    </w:p>
    <w:tbl>
      <w:tblPr>
        <w:tblW w:type="auto" w:w="0"/>
        <w:jc w:val="center"/>
        <w:tblLayout w:type="autofit"/>
        <w:tblLook w:firstColumn="1" w:firstRow="1" w:lastColumn="0" w:lastRow="0" w:noHBand="0" w:noVBand="1" w:val="04A0"/>
      </w:tblPr>
      <w:tblGrid>
        <w:gridCol w:w="9936"/>
      </w:tblGrid>
      <w:tr>
        <w:tc>
          <w:tcPr>
            <w:tcW w:type="dxa" w:w="9936"/>
            <w:shd w:fill="F5F7FA"/>
            <w:tcMar>
              <w:top w:w="120" w:type="dxa"/>
              <w:start w:w="140" w:type="dxa"/>
              <w:bottom w:w="120" w:type="dxa"/>
              <w:end w:w="140" w:type="dxa"/>
            </w:tcMar>
          </w:tcPr>
          <w:p>
            <w:pPr>
              <w:spacing w:before="40" w:after="40"/>
            </w:pPr>
            <w:r>
              <w:rPr>
                <w:rFonts w:ascii="Courier New" w:hAnsi="Courier New" w:eastAsia="Courier New"/>
                <w:sz w:val="18"/>
              </w:rPr>
              <w:t>def build_cycle_schedule(horizon_days: int):</w:t>
              <w:br/>
              <w:t xml:space="preserve">    # Preferred piecewise schedule</w:t>
              <w:br/>
              <w:t xml:space="preserve">    schedule = []</w:t>
              <w:br/>
              <w:t xml:space="preserve">    days_used = 0</w:t>
              <w:br/>
              <w:t xml:space="preserve">    while days_used &lt; min(horizon_days, 84):</w:t>
              <w:br/>
              <w:t xml:space="preserve">        schedule.append(7)   # weekly cycles for first 12 weeks</w:t>
              <w:br/>
              <w:t xml:space="preserve">        days_used += 7</w:t>
              <w:br/>
              <w:t xml:space="preserve">    while days_used &lt; horizon_days:</w:t>
              <w:br/>
              <w:t xml:space="preserve">        step = min(30, horizon_days - days_used)</w:t>
              <w:br/>
              <w:t xml:space="preserve">        schedule.append(step)  # monthly-ish later cycles</w:t>
              <w:br/>
              <w:t xml:space="preserve">        days_used += step</w:t>
              <w:br/>
              <w:t xml:space="preserve">    return schedule</w:t>
            </w:r>
          </w:p>
        </w:tc>
      </w:tr>
    </w:tbl>
    <w:p/>
    <w:p>
      <w:pPr>
        <w:pStyle w:val="Heading2"/>
        <w:spacing w:before="160" w:after="80"/>
      </w:pPr>
      <w:r>
        <w:rPr>
          <w:color w:val="366092"/>
        </w:rPr>
        <w:t>4.3 Convert cumulative probabilities to cycle-specific probabilities correctly</w:t>
      </w:r>
    </w:p>
    <w:p>
      <w:r>
        <w:rPr>
          <w:b/>
        </w:rPr>
        <w:t xml:space="preserve">Problem in the current code: </w:t>
      </w:r>
      <w:r>
        <w:t>monthly_prob_from_cumulative(..., months=6) assumes six equal monthly intervals and is reused mechanically.</w:t>
      </w:r>
    </w:p>
    <w:p>
      <w:r>
        <w:rPr>
          <w:b/>
        </w:rPr>
        <w:t xml:space="preserve">Better approach: </w:t>
      </w:r>
      <w:r>
        <w:t>convert any cumulative risk over a known time window into a daily hazard, then convert that hazard into the probability for each cycle length in days.</w:t>
      </w:r>
    </w:p>
    <w:tbl>
      <w:tblPr>
        <w:tblW w:type="auto" w:w="0"/>
        <w:jc w:val="center"/>
        <w:tblLayout w:type="autofit"/>
        <w:tblLook w:firstColumn="1" w:firstRow="1" w:lastColumn="0" w:lastRow="0" w:noHBand="0" w:noVBand="1" w:val="04A0"/>
      </w:tblPr>
      <w:tblGrid>
        <w:gridCol w:w="9936"/>
      </w:tblGrid>
      <w:tr>
        <w:tc>
          <w:tcPr>
            <w:tcW w:type="dxa" w:w="9936"/>
            <w:shd w:fill="F5F7FA"/>
            <w:tcMar>
              <w:top w:w="120" w:type="dxa"/>
              <w:start w:w="140" w:type="dxa"/>
              <w:bottom w:w="120" w:type="dxa"/>
              <w:end w:w="140" w:type="dxa"/>
            </w:tcMar>
          </w:tcPr>
          <w:p>
            <w:pPr>
              <w:spacing w:before="40" w:after="40"/>
            </w:pPr>
            <w:r>
              <w:rPr>
                <w:rFonts w:ascii="Courier New" w:hAnsi="Courier New" w:eastAsia="Courier New"/>
                <w:sz w:val="18"/>
              </w:rPr>
              <w:t>def cycle_prob_from_cumulative(p_cum: float, window_days: float, cycle_days: float) -&gt; float:</w:t>
              <w:br/>
              <w:t xml:space="preserve">    hazard_per_day = -math.log(1 - p_cum) / window_days</w:t>
              <w:br/>
              <w:t xml:space="preserve">    return 1 - math.exp(-hazard_per_day * cycle_days)</w:t>
              <w:br/>
              <w:br/>
              <w:t># Example:</w:t>
              <w:br/>
              <w:t># 180-day mortality risk -&gt; probability for a 7-day cycle or a 30-day cycle</w:t>
              <w:br/>
              <w:t>p_mort_nd_cycle = cycle_prob_from_cumulative(p["p_mort_180_no_delirium"], 180, cycle_days)</w:t>
              <w:br/>
              <w:t>p_mort_d_cycle  = cycle_prob_from_cumulative(p["p_mort_180_delirium"], 180, cycle_days)</w:t>
            </w:r>
          </w:p>
        </w:tc>
      </w:tr>
    </w:tbl>
    <w:p/>
    <w:p>
      <w:pPr>
        <w:pStyle w:val="Heading2"/>
        <w:spacing w:before="160" w:after="80"/>
      </w:pPr>
      <w:r>
        <w:rPr>
          <w:color w:val="366092"/>
        </w:rPr>
        <w:t>4.4 Make utilities cycle-length aware</w:t>
      </w:r>
    </w:p>
    <w:p>
      <w:r>
        <w:rPr>
          <w:b/>
        </w:rPr>
        <w:t xml:space="preserve">Current issue: </w:t>
      </w:r>
      <w:r>
        <w:t>QALYs are accumulated with utility / 12, which assumes every cycle is one month.</w:t>
      </w:r>
    </w:p>
    <w:p>
      <w:r>
        <w:rPr>
          <w:b/>
        </w:rPr>
        <w:t xml:space="preserve">Required fix: </w:t>
      </w:r>
      <w:r>
        <w:t>Accumulate utilities using cycle_days / 365.0, and apply discounting continuously or per-cycle based on elapsed days.</w:t>
      </w:r>
    </w:p>
    <w:tbl>
      <w:tblPr>
        <w:tblW w:type="auto" w:w="0"/>
        <w:jc w:val="center"/>
        <w:tblLayout w:type="autofit"/>
        <w:tblLook w:firstColumn="1" w:firstRow="1" w:lastColumn="0" w:lastRow="0" w:noHBand="0" w:noVBand="1" w:val="04A0"/>
      </w:tblPr>
      <w:tblGrid>
        <w:gridCol w:w="9936"/>
      </w:tblGrid>
      <w:tr>
        <w:tc>
          <w:tcPr>
            <w:tcW w:type="dxa" w:w="9936"/>
            <w:shd w:fill="F5F7FA"/>
            <w:tcMar>
              <w:top w:w="120" w:type="dxa"/>
              <w:start w:w="140" w:type="dxa"/>
              <w:bottom w:w="120" w:type="dxa"/>
              <w:end w:w="140" w:type="dxa"/>
            </w:tcMar>
          </w:tcPr>
          <w:p>
            <w:pPr>
              <w:spacing w:before="40" w:after="40"/>
            </w:pPr>
            <w:r>
              <w:rPr>
                <w:rFonts w:ascii="Courier New" w:hAnsi="Courier New" w:eastAsia="Courier New"/>
                <w:sz w:val="18"/>
              </w:rPr>
              <w:t>cycle_years = cycle_days / 365.0</w:t>
              <w:br/>
              <w:t>mid_cycle_years = elapsed_days / 365.0 + cycle_years / 2</w:t>
              <w:br/>
              <w:br/>
              <w:t>discount = 1 / ((1 + p["annual_discount"]) ** mid_cycle_years)</w:t>
              <w:br/>
              <w:t>total_qaly += survivors * utility * cycle_years * discount</w:t>
            </w:r>
          </w:p>
        </w:tc>
      </w:tr>
    </w:tbl>
    <w:p/>
    <w:p>
      <w:pPr>
        <w:pStyle w:val="Heading2"/>
        <w:spacing w:before="160" w:after="80"/>
      </w:pPr>
      <w:r>
        <w:rPr>
          <w:color w:val="366092"/>
        </w:rPr>
        <w:t>4.5 Add explicit readmission handling if the paper will report it</w:t>
      </w:r>
    </w:p>
    <w:p>
      <w:pPr>
        <w:pStyle w:val="ListBullet"/>
        <w:spacing w:after="60"/>
      </w:pPr>
      <w:r>
        <w:rPr>
          <w:sz w:val="21"/>
        </w:rPr>
        <w:t>Right now the output file reports delirium, rehab discharges, and deaths, but not explicit readmissions as a separate event count or cost.</w:t>
      </w:r>
    </w:p>
    <w:p>
      <w:pPr>
        <w:pStyle w:val="ListBullet"/>
        <w:spacing w:after="60"/>
      </w:pPr>
      <w:r>
        <w:rPr>
          <w:sz w:val="21"/>
        </w:rPr>
        <w:t>If readmission is part of the study question, add a readmission state or event counter and attach a readmission cost only if you truly want it in the hospital-perspective cost base.</w:t>
      </w:r>
    </w:p>
    <w:p>
      <w:pPr>
        <w:pStyle w:val="ListBullet"/>
        <w:spacing w:after="60"/>
      </w:pPr>
      <w:r>
        <w:rPr>
          <w:sz w:val="21"/>
        </w:rPr>
        <w:t>If readmission is modeled as a utilization outcome only, report it as an outcome but do not imply it was fully costed.</w:t>
      </w:r>
    </w:p>
    <w:p>
      <w:pPr>
        <w:pStyle w:val="Heading1"/>
        <w:spacing w:before="160" w:after="80"/>
      </w:pPr>
      <w:r>
        <w:rPr>
          <w:color w:val="1F4E79"/>
        </w:rPr>
        <w:t>5. Suggested implementation plan</w:t>
      </w:r>
    </w:p>
    <w:p>
      <w:pPr>
        <w:pStyle w:val="ListNumber"/>
        <w:spacing w:after="60"/>
      </w:pPr>
      <w:r>
        <w:rPr>
          <w:sz w:val="21"/>
        </w:rPr>
        <w:t>Refactor the run_markov function into a generic run_model(strategy, horizon_days, schedule, params).</w:t>
      </w:r>
    </w:p>
    <w:p>
      <w:pPr>
        <w:pStyle w:val="ListNumber"/>
        <w:spacing w:after="60"/>
      </w:pPr>
      <w:r>
        <w:rPr>
          <w:sz w:val="21"/>
        </w:rPr>
        <w:t>Create build_cycle_schedule(horizon_days) to return the actual cycle lengths in days.</w:t>
      </w:r>
    </w:p>
    <w:p>
      <w:pPr>
        <w:pStyle w:val="ListNumber"/>
        <w:spacing w:after="60"/>
      </w:pPr>
      <w:r>
        <w:rPr>
          <w:sz w:val="21"/>
        </w:rPr>
        <w:t>Replace month-based probability conversion with hazard-based cycle_prob_from_cumulative.</w:t>
      </w:r>
    </w:p>
    <w:p>
      <w:pPr>
        <w:pStyle w:val="ListNumber"/>
        <w:spacing w:after="60"/>
      </w:pPr>
      <w:r>
        <w:rPr>
          <w:sz w:val="21"/>
        </w:rPr>
        <w:t>Replace month-based utility functions with time-aware functions that accept elapsed days.</w:t>
      </w:r>
    </w:p>
    <w:p>
      <w:pPr>
        <w:pStyle w:val="ListNumber"/>
        <w:spacing w:after="60"/>
      </w:pPr>
      <w:r>
        <w:rPr>
          <w:sz w:val="21"/>
        </w:rPr>
        <w:t>Store outputs for 180-day base case and optional 365-day scenario only.</w:t>
      </w:r>
    </w:p>
    <w:p>
      <w:pPr>
        <w:pStyle w:val="ListNumber"/>
        <w:spacing w:after="60"/>
      </w:pPr>
      <w:r>
        <w:rPr>
          <w:sz w:val="21"/>
        </w:rPr>
        <w:t>Rebuild the one-way sensitivity analysis and PSA using the new cycle schedule.</w:t>
      </w:r>
    </w:p>
    <w:p>
      <w:pPr>
        <w:pStyle w:val="ListNumber"/>
        <w:spacing w:after="60"/>
      </w:pPr>
      <w:r>
        <w:rPr>
          <w:sz w:val="21"/>
        </w:rPr>
        <w:t>Regenerate plots and relabel them to match the new base-case horizon.</w:t>
      </w:r>
    </w:p>
    <w:p>
      <w:pPr>
        <w:pStyle w:val="Heading1"/>
        <w:spacing w:before="160" w:after="80"/>
      </w:pPr>
      <w:r>
        <w:rPr>
          <w:color w:val="1F4E79"/>
        </w:rPr>
        <w:t>6. Acceptance tests for the engineer</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Mar>
              <w:top w:w="80" w:type="dxa"/>
              <w:start w:w="100" w:type="dxa"/>
              <w:bottom w:w="80" w:type="dxa"/>
              <w:end w:w="100" w:type="dxa"/>
            </w:tcMar>
            <w:shd w:fill="D9EAF7"/>
          </w:tcPr>
          <w:p>
            <w:r>
              <w:rPr>
                <w:b/>
              </w:rPr>
              <w:t>Test</w:t>
            </w:r>
          </w:p>
        </w:tc>
        <w:tc>
          <w:tcPr>
            <w:tcW w:type="dxa" w:w="3312"/>
            <w:vAlign w:val="center"/>
            <w:tcMar>
              <w:top w:w="80" w:type="dxa"/>
              <w:start w:w="100" w:type="dxa"/>
              <w:bottom w:w="80" w:type="dxa"/>
              <w:end w:w="100" w:type="dxa"/>
            </w:tcMar>
            <w:shd w:fill="D9EAF7"/>
          </w:tcPr>
          <w:p>
            <w:r>
              <w:rPr>
                <w:b/>
              </w:rPr>
              <w:t>Pass condition</w:t>
            </w:r>
          </w:p>
        </w:tc>
        <w:tc>
          <w:tcPr>
            <w:tcW w:type="dxa" w:w="3312"/>
            <w:vAlign w:val="center"/>
            <w:tcMar>
              <w:top w:w="80" w:type="dxa"/>
              <w:start w:w="100" w:type="dxa"/>
              <w:bottom w:w="80" w:type="dxa"/>
              <w:end w:w="100" w:type="dxa"/>
            </w:tcMar>
            <w:shd w:fill="D9EAF7"/>
          </w:tcPr>
          <w:p>
            <w:r>
              <w:rPr>
                <w:b/>
              </w:rPr>
              <w:t>Why it matters</w:t>
            </w:r>
          </w:p>
        </w:tc>
      </w:tr>
      <w:tr>
        <w:tc>
          <w:tcPr>
            <w:tcW w:type="dxa" w:w="3312"/>
          </w:tcPr>
          <w:p>
            <w:r>
              <w:t>Mass balance</w:t>
            </w:r>
          </w:p>
        </w:tc>
        <w:tc>
          <w:tcPr>
            <w:tcW w:type="dxa" w:w="3312"/>
          </w:tcPr>
          <w:p>
            <w:r>
              <w:t>State occupancy sums to 1.0 every cycle within floating-point tolerance.</w:t>
            </w:r>
          </w:p>
        </w:tc>
        <w:tc>
          <w:tcPr>
            <w:tcW w:type="dxa" w:w="3312"/>
          </w:tcPr>
          <w:p>
            <w:r>
              <w:t>Detects transition bugs.</w:t>
            </w:r>
          </w:p>
        </w:tc>
      </w:tr>
      <w:tr>
        <w:tc>
          <w:tcPr>
            <w:tcW w:type="dxa" w:w="3312"/>
          </w:tcPr>
          <w:p>
            <w:r>
              <w:t>Cycle invariance sanity check</w:t>
            </w:r>
          </w:p>
        </w:tc>
        <w:tc>
          <w:tcPr>
            <w:tcW w:type="dxa" w:w="3312"/>
          </w:tcPr>
          <w:p>
            <w:r>
              <w:t>Using smaller early cycles should not reverse the sign of incremental cost or incremental QALY.</w:t>
            </w:r>
          </w:p>
        </w:tc>
        <w:tc>
          <w:tcPr>
            <w:tcW w:type="dxa" w:w="3312"/>
          </w:tcPr>
          <w:p>
            <w:r>
              <w:t>Checks numerical stability.</w:t>
            </w:r>
          </w:p>
        </w:tc>
      </w:tr>
      <w:tr>
        <w:tc>
          <w:tcPr>
            <w:tcW w:type="dxa" w:w="3312"/>
          </w:tcPr>
          <w:p>
            <w:r>
              <w:t>180-day replication</w:t>
            </w:r>
          </w:p>
        </w:tc>
        <w:tc>
          <w:tcPr>
            <w:tcW w:type="dxa" w:w="3312"/>
          </w:tcPr>
          <w:p>
            <w:r>
              <w:t>Base-case 180-day outputs match expected direction: pEEG lowers delirium and should modestly improve QALYs.</w:t>
            </w:r>
          </w:p>
        </w:tc>
        <w:tc>
          <w:tcPr>
            <w:tcW w:type="dxa" w:w="3312"/>
          </w:tcPr>
          <w:p>
            <w:r>
              <w:t>Confirms refactor preserved model logic.</w:t>
            </w:r>
          </w:p>
        </w:tc>
      </w:tr>
      <w:tr>
        <w:tc>
          <w:tcPr>
            <w:tcW w:type="dxa" w:w="3312"/>
          </w:tcPr>
          <w:p>
            <w:r>
              <w:t>Discounting test</w:t>
            </w:r>
          </w:p>
        </w:tc>
        <w:tc>
          <w:tcPr>
            <w:tcW w:type="dxa" w:w="3312"/>
          </w:tcPr>
          <w:p>
            <w:r>
              <w:t>Setting annual_discount = 0 changes only discounted values, not event counts.</w:t>
            </w:r>
          </w:p>
        </w:tc>
        <w:tc>
          <w:tcPr>
            <w:tcW w:type="dxa" w:w="3312"/>
          </w:tcPr>
          <w:p>
            <w:r>
              <w:t>Verifies economic calculations are isolated.</w:t>
            </w:r>
          </w:p>
        </w:tc>
      </w:tr>
      <w:tr>
        <w:tc>
          <w:tcPr>
            <w:tcW w:type="dxa" w:w="3312"/>
          </w:tcPr>
          <w:p>
            <w:r>
              <w:t>Readmission logic test</w:t>
            </w:r>
          </w:p>
        </w:tc>
        <w:tc>
          <w:tcPr>
            <w:tcW w:type="dxa" w:w="3312"/>
          </w:tcPr>
          <w:p>
            <w:r>
              <w:t>If readmission is enabled, patients can enter and exit the readmission state without disappearing or duplicating.</w:t>
            </w:r>
          </w:p>
        </w:tc>
        <w:tc>
          <w:tcPr>
            <w:tcW w:type="dxa" w:w="3312"/>
          </w:tcPr>
          <w:p>
            <w:r>
              <w:t>Prevents bad recurrent-event implementation.</w:t>
            </w:r>
          </w:p>
        </w:tc>
      </w:tr>
      <w:tr>
        <w:tc>
          <w:tcPr>
            <w:tcW w:type="dxa" w:w="3312"/>
          </w:tcPr>
          <w:p>
            <w:r>
              <w:t>Scenario control</w:t>
            </w:r>
          </w:p>
        </w:tc>
        <w:tc>
          <w:tcPr>
            <w:tcW w:type="dxa" w:w="3312"/>
          </w:tcPr>
          <w:p>
            <w:r>
              <w:t>1-year scenario runs without changing the 180-day base-case outputs.</w:t>
            </w:r>
          </w:p>
        </w:tc>
        <w:tc>
          <w:tcPr>
            <w:tcW w:type="dxa" w:w="3312"/>
          </w:tcPr>
          <w:p>
            <w:r>
              <w:t>Separates scenario logic from primary analysis.</w:t>
            </w:r>
          </w:p>
        </w:tc>
      </w:tr>
    </w:tbl>
    <w:p/>
    <w:p>
      <w:pPr>
        <w:pStyle w:val="Heading1"/>
        <w:spacing w:before="160" w:after="80"/>
      </w:pPr>
      <w:r>
        <w:rPr>
          <w:color w:val="1F4E79"/>
        </w:rPr>
        <w:t>7. Deliverables the engineer should return</w:t>
      </w:r>
    </w:p>
    <w:p>
      <w:pPr>
        <w:pStyle w:val="ListBullet"/>
        <w:spacing w:after="60"/>
      </w:pPr>
      <w:r>
        <w:rPr>
          <w:sz w:val="21"/>
        </w:rPr>
        <w:t>Revised Python script with comments describing horizon and cycle logic.</w:t>
      </w:r>
    </w:p>
    <w:p>
      <w:pPr>
        <w:pStyle w:val="ListBullet"/>
        <w:spacing w:after="60"/>
      </w:pPr>
      <w:r>
        <w:rPr>
          <w:sz w:val="21"/>
        </w:rPr>
        <w:t>CSV outputs for 180-day base case and 1-year scenario.</w:t>
      </w:r>
    </w:p>
    <w:p>
      <w:pPr>
        <w:pStyle w:val="ListBullet"/>
        <w:spacing w:after="60"/>
      </w:pPr>
      <w:r>
        <w:rPr>
          <w:sz w:val="21"/>
        </w:rPr>
        <w:t>Updated PSA, CE plane, CEAC, and one-way sensitivity analysis figures labeled with the correct horizon.</w:t>
      </w:r>
    </w:p>
    <w:p>
      <w:pPr>
        <w:pStyle w:val="ListBullet"/>
        <w:spacing w:after="60"/>
      </w:pPr>
      <w:r>
        <w:rPr>
          <w:sz w:val="21"/>
        </w:rPr>
        <w:t>A short README stating exactly which costs are included and which downstream outcomes are not explicitly costed.</w:t>
      </w:r>
    </w:p>
    <w:p>
      <w:pPr>
        <w:pStyle w:val="ListBullet"/>
        <w:spacing w:after="60"/>
      </w:pPr>
      <w:r>
        <w:rPr>
          <w:sz w:val="21"/>
        </w:rPr>
        <w:t>A changelog explaining how the original 1-, 5-, and 10-year implementation was replaced.</w:t>
      </w:r>
    </w:p>
    <w:p>
      <w:pPr>
        <w:pStyle w:val="Heading1"/>
        <w:spacing w:before="160" w:after="80"/>
      </w:pPr>
      <w:r>
        <w:rPr>
          <w:color w:val="1F4E79"/>
        </w:rPr>
        <w:t>8. Bottom-line recommendation</w:t>
      </w:r>
    </w:p>
    <w:p>
      <w:r>
        <w:rPr>
          <w:b/>
        </w:rPr>
        <w:t xml:space="preserve">Best option: </w:t>
      </w:r>
      <w:r>
        <w:t>Use a 180-day base case with finer early cycles, ideally weekly for the acute and early post-acute period, plus a 1-year scenario analysis. This best matches the biology of delirium, the timing of discharge and rehab decisions, and the evidence base for hip-fracture recovery. Keep the model hospital-perspective and do not present 5- or 10-year outputs unless the long-term state structure is expanded substantially.</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Prepared from the uploaded pEEG hip-fracture model code and outputs.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