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000000"/>
          <w:sz w:val="20"/>
        </w:rPr>
        <w:t>Genova, 17 maggio 2026</w:t>
      </w:r>
    </w:p>
    <w:p>
      <w:pPr>
        <w:spacing w:before="240"/>
        <w:jc w:val="right"/>
      </w:pPr>
      <w:r>
        <w:rPr>
          <w:i/>
          <w:sz w:val="20"/>
        </w:rPr>
        <w:t>Spett.le</w:t>
      </w:r>
    </w:p>
    <w:p>
      <w:pPr>
        <w:spacing w:before="0" w:after="0"/>
        <w:jc w:val="right"/>
      </w:pPr>
      <w:r>
        <w:rPr>
          <w:b/>
          <w:sz w:val="20"/>
        </w:rPr>
        <w:t>MINISTERO DELLE IMPRESE E DEL MADE IN ITALY</w:t>
      </w:r>
    </w:p>
    <w:p>
      <w:pPr>
        <w:spacing w:before="0" w:after="0"/>
        <w:jc w:val="right"/>
      </w:pPr>
      <w:r>
        <w:rPr>
          <w:b w:val="0"/>
          <w:sz w:val="20"/>
        </w:rPr>
        <w:t>Direzione Generale per le politiche industriali, dell'innovazione e delle piccole e medie imprese, Ufficio Aerospazio</w:t>
      </w:r>
    </w:p>
    <w:p>
      <w:pPr>
        <w:spacing w:before="0" w:after="0"/>
        <w:jc w:val="right"/>
      </w:pPr>
      <w:r>
        <w:rPr>
          <w:b w:val="0"/>
          <w:sz w:val="20"/>
        </w:rPr>
        <w:t>Via Molise 2, 00187 Roma</w:t>
      </w:r>
    </w:p>
    <w:p>
      <w:pPr>
        <w:spacing w:before="0" w:after="0"/>
        <w:jc w:val="right"/>
      </w:pPr>
      <w:r>
        <w:rPr>
          <w:b w:val="0"/>
          <w:sz w:val="20"/>
        </w:rPr>
        <w:t>dgsii.dg@pec.mise.gov.it</w:t>
      </w:r>
    </w:p>
    <w:p>
      <w:pPr>
        <w:spacing w:before="360"/>
        <w:jc w:val="left"/>
      </w:pPr>
      <w:r>
        <w:rPr>
          <w:b/>
          <w:color w:val="0A1A3D"/>
          <w:sz w:val="22"/>
        </w:rPr>
        <w:t xml:space="preserve">Oggetto: </w:t>
      </w:r>
      <w:r>
        <w:rPr>
          <w:sz w:val="22"/>
        </w:rPr>
        <w:t>Studio di Fattibilita Piattaforma HALE/VTOL per Aree Interne, Posizionamento nella filiera aerospace italiana e nella sovranita tecnologica europea complementare a IRIS².</w:t>
      </w:r>
    </w:p>
    <w:p>
      <w:pPr>
        <w:jc w:val="both"/>
      </w:pPr>
      <w:r>
        <w:rPr>
          <w:color w:val="000000"/>
          <w:sz w:val="22"/>
        </w:rPr>
        <w:t>Gentile Direttore,</w:t>
      </w:r>
    </w:p>
    <w:p>
      <w:pPr>
        <w:jc w:val="both"/>
      </w:pPr>
      <w:r>
        <w:rPr>
          <w:color w:val="000000"/>
          <w:sz w:val="22"/>
        </w:rPr>
        <w:t>con la presente trasmettiamo lo Studio di Fattibilita tecnico-economica del progetto "Piattaforma Aerea HALE/VTOL per Aree Interne", proponendo un posizionamento di filiera aerospace italiana coerente con la strategia di sovranita tecnologica europea.</w:t>
      </w:r>
    </w:p>
    <w:p>
      <w:pPr>
        <w:jc w:val="both"/>
      </w:pPr>
      <w:r>
        <w:rPr>
          <w:color w:val="000000"/>
          <w:sz w:val="22"/>
        </w:rPr>
        <w:t>Il progetto si posiziona come potenziale nodo italiano fondatore di una futura infrastruttura sovrana europea HAPS (High Altitude Pseudo-Satellite), complementare a IRIS² sul layer stratosferico. La finestra strategica Y2-Y4 (2027-2030) si sovrappone alla fase pre-operativa di IRIS² (lancio 2029, operativita piena 2031) e apre un'opportunita di posizionamento per un layer stratosferico gap-filler nell'architettura sovrana EU multi-orbit.</w:t>
      </w:r>
    </w:p>
    <w:p>
      <w:pPr>
        <w:jc w:val="both"/>
      </w:pPr>
      <w:r>
        <w:rPr>
          <w:color w:val="000000"/>
          <w:sz w:val="22"/>
        </w:rPr>
        <w:t>Lo Studio si articola in tre volumi:</w:t>
      </w:r>
    </w:p>
    <w:p>
      <w:r>
        <w:rPr>
          <w:sz w:val="22"/>
        </w:rPr>
        <w:t>Volume 1, Studio (testuale): 12 capitoli, dalla Sintesi Esecutiva alla Roadmap post-fattibilita, circa 350 pagine A4.</w:t>
      </w:r>
    </w:p>
    <w:p>
      <w:r>
        <w:rPr>
          <w:sz w:val="22"/>
        </w:rPr>
        <w:t>Volume 2, Allegati Tecnici: 13 allegati (RTM, Risk Register, ICD, V&amp;V Plan, Computo Metrico, Safety Case SORA, VIA preliminare e altro), comprensivo di refinement engineering-grade v2.0 (A.4 ICD, A.11 SORA, A.12 VIA) e v1.5 (A.1 RTM, A.2 Risk Register, A.9 Computo, A.10 Manutenzione).</w:t>
      </w:r>
    </w:p>
    <w:p>
      <w:r>
        <w:rPr>
          <w:sz w:val="22"/>
        </w:rPr>
        <w:t>Volume 3, Riferimenti: 5 sezioni con circa 270 riferimenti normativi, tecnici e di mercato.</w:t>
      </w:r>
    </w:p>
    <w:p>
      <w:pPr>
        <w:jc w:val="center"/>
      </w:pPr>
      <w:r>
        <w:rPr>
          <w:b/>
          <w:color w:val="0A1A3D"/>
          <w:sz w:val="24"/>
        </w:rPr>
        <w:t>Caratteristiche essenziali del progetto</w:t>
      </w:r>
    </w:p>
    <w:p>
      <w:pPr>
        <w:jc w:val="both"/>
      </w:pPr>
      <w:r>
        <w:rPr>
          <w:color w:val="000000"/>
          <w:sz w:val="22"/>
        </w:rPr>
        <w:t>Il progetto e sviluppato da Firmamento Technologies in collaborazione con una rete di dieci cooperative aderenti a Legacoop, di cui Fabrica e capofila. L'obiettivo e l'erogazione di servizi ricorrenti, monitoraggio territoriale persistente, connettivita di emergenza, supporto a Protezione Civile e cooperative, rivolti alle Aree Interne italiane. Il focus iniziale e la Regione Liguria, area SNAI Valli Antola-Tigullio, con caso pilota nella frazione di Pentema (Comune di Torriglia, Genova).</w:t>
      </w:r>
    </w:p>
    <w:p>
      <w:pPr>
        <w:jc w:val="both"/>
      </w:pPr>
      <w:r>
        <w:rPr>
          <w:color w:val="000000"/>
          <w:sz w:val="22"/>
        </w:rPr>
        <w:t>La strategia adottata e duale a riduzione del rischio. Il Percorso 6A, VTOL pilota Pentema, copre l'orizzonte 0-12 mesi con budget €700k-€2M baseline e piattaforma commerciale TRL 8-9; il verdetto raccomandato e HOLD CON PIANO REGOLATORIO RAFFORZATO come scenario base (P 45-60%), con possibilita di GO CONDIZIONATO al verificarsi simultaneo di cinque hard conditions. Il Percorso 6B, HALE stratosferico R&amp;D, copre l'orizzonte 24-48+ mesi con budget Phase B €5.5-13.5M R&amp;D-only; il verdetto raccomandato e HOLD CON CRITERI DI USCITA STRINGENTI in attesa dell'apertura del framework EASA HAPS e della disponibilita di partnership con prime contractor.</w:t>
      </w:r>
    </w:p>
    <w:p>
      <w:pPr>
        <w:jc w:val="center"/>
      </w:pPr>
      <w:r>
        <w:rPr>
          <w:b/>
          <w:color w:val="0A1A3D"/>
          <w:sz w:val="24"/>
        </w:rPr>
        <w:t>Richiesta</w:t>
      </w:r>
    </w:p>
    <w:p>
      <w:pPr>
        <w:jc w:val="both"/>
      </w:pPr>
      <w:r>
        <w:rPr>
          <w:color w:val="000000"/>
          <w:sz w:val="22"/>
        </w:rPr>
        <w:t>Indicazione bandi PNRR Aerospazio e linee IS4Aerospace 2026-2028 applicabili al Percorso 6A (€100-300k target) e al Percorso 6B Phase B R&amp;D (€1-2.5M target).</w:t>
      </w:r>
    </w:p>
    <w:p>
      <w:pPr>
        <w:jc w:val="both"/>
      </w:pPr>
      <w:r>
        <w:rPr>
          <w:color w:val="000000"/>
          <w:sz w:val="22"/>
        </w:rPr>
        <w:t>Endorsement strategico del posizionamento "complementare a IRIS²" presso DG CNECT e DG DEFIS della Commissione Europea.</w:t>
      </w:r>
    </w:p>
    <w:p>
      <w:pPr>
        <w:jc w:val="both"/>
      </w:pPr>
      <w:r>
        <w:rPr>
          <w:color w:val="000000"/>
          <w:sz w:val="22"/>
        </w:rPr>
        <w:t>Disponibilita a interlocuzione su programma EU HAPS dedicato (analog IRIS² stratospheric), precondizione per la Fase 5 della visione 10 anni.</w:t>
      </w:r>
    </w:p>
    <w:p>
      <w:pPr>
        <w:jc w:val="both"/>
      </w:pPr>
      <w:r>
        <w:rPr>
          <w:color w:val="000000"/>
          <w:sz w:val="22"/>
        </w:rPr>
        <w:t>Restiamo a disposizione per ogni chiarimento, integrazione documentale o approfondimento tecnico.</w:t>
      </w:r>
    </w:p>
    <w:p>
      <w:pPr>
        <w:jc w:val="both"/>
      </w:pPr>
      <w:r>
        <w:rPr>
          <w:color w:val="000000"/>
          <w:sz w:val="22"/>
        </w:rPr>
        <w:t>Cordiali saluti.</w:t>
      </w:r>
    </w:p>
    <w:p>
      <w:pPr>
        <w:spacing w:before="480"/>
        <w:jc w:val="right"/>
      </w:pPr>
      <w:r>
        <w:rPr>
          <w:b/>
          <w:color w:val="0A1A3D"/>
          <w:sz w:val="22"/>
        </w:rPr>
        <w:t>Firmamento Technologies Societa Cooperativa</w:t>
      </w:r>
    </w:p>
    <w:p>
      <w:pPr>
        <w:jc w:val="right"/>
      </w:pPr>
      <w:r>
        <w:rPr>
          <w:i/>
          <w:sz w:val="20"/>
        </w:rPr>
        <w:t>[Nome Amministratore Unico]</w:t>
      </w:r>
    </w:p>
    <w:p>
      <w:pPr>
        <w:jc w:val="both"/>
      </w:pPr>
      <w:r>
        <w:rPr>
          <w:b/>
          <w:color w:val="000000"/>
          <w:sz w:val="22"/>
        </w:rPr>
        <w:t>Allegati:</w:t>
      </w:r>
    </w:p>
    <w:p>
      <w:pPr>
        <w:pStyle w:val="ListBullet"/>
      </w:pPr>
      <w:r>
        <w:rPr>
          <w:sz w:val="20"/>
        </w:rPr>
        <w:t>Volume 1 - Studio (PDF firmato digitalmente)</w:t>
      </w:r>
    </w:p>
    <w:p>
      <w:pPr>
        <w:pStyle w:val="ListBullet"/>
      </w:pPr>
      <w:r>
        <w:rPr>
          <w:sz w:val="20"/>
        </w:rPr>
        <w:t>Volume 2 - Allegati Tecnici (PDF firmato digitalmente)</w:t>
      </w:r>
    </w:p>
    <w:p>
      <w:pPr>
        <w:pStyle w:val="ListBullet"/>
      </w:pPr>
      <w:r>
        <w:rPr>
          <w:sz w:val="20"/>
        </w:rPr>
        <w:t>Volume 3 - Riferimenti bibliografici (PDF)</w:t>
      </w:r>
    </w:p>
    <w:p>
      <w:pPr>
        <w:pStyle w:val="ListBullet"/>
      </w:pPr>
      <w:r>
        <w:rPr>
          <w:sz w:val="20"/>
        </w:rPr>
        <w:t>Sintesi Esecutiva 1-pagina per Consiglio di Amministrazione (PDF)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3A3A3A"/>
        <w:sz w:val="16"/>
      </w:rPr>
      <w:t>Firmamento Technologies Soc. Coop. . P.IVA IT03038500991 . REA 528629 . PEC firmamentotechnologies@pec.it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835"/>
      <w:gridCol w:w="6236"/>
    </w:tblGrid>
    <w:tr>
      <w:tc>
        <w:tcPr>
          <w:tcW w:type="dxa" w:w="4535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20000" cy="904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Firmamento Technologi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904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center"/>
        </w:tcPr>
        <w:p>
          <w:pPr>
            <w:jc w:val="right"/>
          </w:pPr>
          <w:r>
            <w:rPr>
              <w:b/>
              <w:color w:val="0A1A3D"/>
              <w:sz w:val="20"/>
            </w:rPr>
            <w:t>FIRMAMENTO TECHNOLOGIES SOCIETA' COOPERATIVA</w:t>
          </w:r>
        </w:p>
        <w:p>
          <w:pPr>
            <w:jc w:val="right"/>
          </w:pPr>
          <w:r>
            <w:rPr>
              <w:color w:val="3A3A3A"/>
              <w:sz w:val="18"/>
            </w:rPr>
            <w:t>Via Brigata Liguria 105 R, 16121 Genova (GE)</w:t>
          </w:r>
        </w:p>
        <w:p>
          <w:pPr>
            <w:jc w:val="right"/>
          </w:pPr>
          <w:r>
            <w:rPr>
              <w:color w:val="3A3A3A"/>
              <w:sz w:val="18"/>
            </w:rPr>
            <w:t>P.IVA / C.F. IT03038500991 . REA 528629 . PEC: firmamentotechnologies@pec.it</w:t>
          </w:r>
        </w:p>
      </w:tc>
    </w:tr>
  </w:tbl>
  <w:p>
    <w:pPr>
      <w:pBdr>
        <w:bottom w:val="single" w:sz="12" w:space="1" w:color="0A1A3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