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6d10e873921fed77129887dd608583d06bf5ec"/>
    <w:p>
      <w:pPr>
        <w:pStyle w:val="Heading1"/>
      </w:pPr>
      <w:r>
        <w:t xml:space="preserve">Studio di Fattibilità HALE/VTOL, Sintesi 1-Pagina per CdA</w:t>
      </w:r>
    </w:p>
    <w:p>
      <w:pPr>
        <w:pStyle w:val="BlockText"/>
      </w:pPr>
      <w:r>
        <w:t xml:space="preserve">Firmamento Technologies | Bando Cooding Prototypes | Bozza M+3</w:t>
      </w:r>
      <w:r>
        <w:t xml:space="preserve"> </w:t>
      </w:r>
      <w:r>
        <w:t xml:space="preserve">Per Consiglio di Amministrazione e Sponsor Istituzionali</w:t>
      </w:r>
    </w:p>
    <w:p>
      <w:r>
        <w:pict>
          <v:rect style="width:0;height:1.5pt" o:hralign="center" o:hrstd="t" o:hr="t"/>
        </w:pict>
      </w:r>
    </w:p>
    <w:bookmarkStart w:id="20" w:name="il-progetto-in-5-punti"/>
    <w:p>
      <w:pPr>
        <w:pStyle w:val="Heading2"/>
      </w:pPr>
      <w:r>
        <w:t xml:space="preserve">IL PROGETTO IN 5 PUNTI</w:t>
      </w:r>
    </w:p>
    <w:p>
      <w:pPr>
        <w:pStyle w:val="FirstParagraph"/>
      </w:pPr>
      <w:r>
        <w:t xml:space="preserve">Il progetto Firmamento Technologies prevede una piattaforma aerea unmanned a servizio delle Aree Interne italiane, operata come operatore di servizi ricorrenti senza vendita di velivoli. Il pilota territoriale è ambientato a Pentema (Torriglia, GE), 14 abitanti ISTAT, area SNAI Valli Antola-Tigullio.</w:t>
      </w:r>
    </w:p>
    <w:p>
      <w:pPr>
        <w:pStyle w:val="BodyText"/>
      </w:pPr>
      <w:r>
        <w:t xml:space="preserve">La strategia è duale: il Percorso</w:t>
      </w:r>
      <w:r>
        <w:t xml:space="preserve"> </w:t>
      </w:r>
      <w:r>
        <w:rPr>
          <w:bCs/>
          <w:b/>
        </w:rPr>
        <w:t xml:space="preserve">6A VTOL pilota</w:t>
      </w:r>
      <w:r>
        <w:t xml:space="preserve"> </w:t>
      </w:r>
      <w:r>
        <w:t xml:space="preserve">copre la finestra M+0-12 con profilo low-risk, mentre il Percorso</w:t>
      </w:r>
      <w:r>
        <w:t xml:space="preserve"> </w:t>
      </w:r>
      <w:r>
        <w:rPr>
          <w:bCs/>
          <w:b/>
        </w:rPr>
        <w:t xml:space="preserve">6B HALE stratosferico</w:t>
      </w:r>
      <w:r>
        <w:t xml:space="preserve"> </w:t>
      </w:r>
      <w:r>
        <w:t xml:space="preserve">affronta la R&amp;D Phase B in orizzonte M+24-48 con profilo high-risk. I casi d'uso prioritari sono monitoraggio frane, antincendio boschivo, connettività di emergenza, mapping infrastrutture e supporto alle cooperative agricole.</w:t>
      </w:r>
    </w:p>
    <w:p>
      <w:pPr>
        <w:pStyle w:val="BodyText"/>
      </w:pPr>
      <w:r>
        <w:t xml:space="preserve">Quanto alla visione decennale, Firmamento si posiziona come nodo italiano di un futuro consorzio EU stratospheric layer, complementare a IRIS². Il linguaggio pubblico mantiene la formulazione "complementare a IRIS²", non "alternativa a Starlink".</w:t>
      </w:r>
    </w:p>
    <w:bookmarkEnd w:id="20"/>
    <w:bookmarkStart w:id="21" w:name="Xd58bd97c0c96ec3fc7093659bee17110dea5142"/>
    <w:p>
      <w:pPr>
        <w:pStyle w:val="Heading2"/>
      </w:pPr>
      <w:r>
        <w:t xml:space="preserve">VERDETTO RACCOMANDATO (DECISIONE RICHIESTA)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Percorso</w:t>
            </w:r>
          </w:p>
        </w:tc>
        <w:tc>
          <w:tcPr/>
          <w:p>
            <w:pPr>
              <w:pStyle w:val="Compact"/>
              <w:jc w:val="left"/>
            </w:pPr>
            <w:r>
              <w:t xml:space="preserve">Verdetto</w:t>
            </w:r>
          </w:p>
        </w:tc>
        <w:tc>
          <w:tcPr/>
          <w:p>
            <w:pPr>
              <w:pStyle w:val="Compact"/>
              <w:jc w:val="left"/>
            </w:pPr>
            <w:r>
              <w:t xml:space="preserve">Probabilità reale</w:t>
            </w:r>
          </w:p>
        </w:tc>
        <w:tc>
          <w:tcPr/>
          <w:p>
            <w:pPr>
              <w:pStyle w:val="Compact"/>
              <w:jc w:val="left"/>
            </w:pPr>
            <w:r>
              <w:t xml:space="preserve">Razionale</w:t>
            </w:r>
          </w:p>
        </w:tc>
      </w:tr>
      <w:tr>
        <w:tc>
          <w:tcPr/>
          <w:p>
            <w:pPr>
              <w:pStyle w:val="Compact"/>
              <w:jc w:val="left"/>
            </w:pPr>
            <w:r>
              <w:rPr>
                <w:bCs/>
                <w:b/>
              </w:rPr>
              <w:t xml:space="preserve">6A VTOL pilota</w:t>
            </w:r>
          </w:p>
        </w:tc>
        <w:tc>
          <w:tcPr/>
          <w:p>
            <w:pPr>
              <w:pStyle w:val="Compact"/>
              <w:jc w:val="left"/>
            </w:pPr>
            <w:r>
              <w:rPr>
                <w:bCs/>
                <w:b/>
              </w:rPr>
              <w:t xml:space="preserve">HOLD CON PIANO REGOLATORIO RAFFORZATO</w:t>
            </w:r>
            <w:r>
              <w:t xml:space="preserve"> </w:t>
            </w:r>
            <w:r>
              <w:t xml:space="preserve">(scenario base, P 45-60%), re-review M+13-16. GO pieno P 5-15% (richiede 5 hard conditions soddisfatte simultaneamente)</w:t>
            </w:r>
          </w:p>
        </w:tc>
        <w:tc>
          <w:tcPr/>
          <w:p>
            <w:pPr>
              <w:pStyle w:val="Compact"/>
              <w:jc w:val="left"/>
            </w:pPr>
            <w:r>
              <w:t xml:space="preserve">45-60% Hold; 5-15% Go pieno</w:t>
            </w:r>
          </w:p>
        </w:tc>
        <w:tc>
          <w:tcPr/>
          <w:p>
            <w:pPr>
              <w:pStyle w:val="Compact"/>
              <w:jc w:val="left"/>
            </w:pPr>
            <w:r>
              <w:t xml:space="preserve">Solido tecnicamente; debole su engagement esterno non ancora completato (LoI Regione, SORA ENAC, funding mix)</w:t>
            </w:r>
          </w:p>
        </w:tc>
      </w:tr>
      <w:tr>
        <w:tc>
          <w:tcPr/>
          <w:p>
            <w:pPr>
              <w:pStyle w:val="Compact"/>
              <w:jc w:val="left"/>
            </w:pPr>
            <w:r>
              <w:rPr>
                <w:bCs/>
                <w:b/>
              </w:rPr>
              <w:t xml:space="preserve">6B HALE R&amp;D</w:t>
            </w:r>
          </w:p>
        </w:tc>
        <w:tc>
          <w:tcPr/>
          <w:p>
            <w:pPr>
              <w:pStyle w:val="Compact"/>
              <w:jc w:val="left"/>
            </w:pPr>
            <w:r>
              <w:rPr>
                <w:bCs/>
                <w:b/>
              </w:rPr>
              <w:t xml:space="preserve">HOLD CON CRITERI DI USCITA ESTREMAMENTE STRINGENTI</w:t>
            </w:r>
            <w:r>
              <w:t xml:space="preserve"> </w:t>
            </w:r>
            <w:r>
              <w:t xml:space="preserve">+ pivot strutturale verso "operatore di servizi su prime contractor" (Aalto/Sceye/Skydweller/CIRA) anziché "HALE proprietario standalone"</w:t>
            </w:r>
          </w:p>
        </w:tc>
        <w:tc>
          <w:tcPr/>
          <w:p>
            <w:pPr>
              <w:pStyle w:val="Compact"/>
              <w:jc w:val="left"/>
            </w:pPr>
            <w:r>
              <w:t xml:space="preserve">Hold permanente fino a gate G5 M+24</w:t>
            </w:r>
          </w:p>
        </w:tc>
        <w:tc>
          <w:tcPr/>
          <w:p>
            <w:pPr>
              <w:pStyle w:val="Compact"/>
              <w:jc w:val="left"/>
            </w:pPr>
            <w:r>
              <w:t xml:space="preserve">Base rate 0% HALE solari commerciali in 22 anni; capital intensity reale $50M-1B (vs nostro budget Phase B €5.5-13.5M, R&amp;D Phase 0/A only)</w:t>
            </w:r>
          </w:p>
        </w:tc>
      </w:tr>
    </w:tbl>
    <w:bookmarkEnd w:id="21"/>
    <w:bookmarkStart w:id="22" w:name="numeri-chiave"/>
    <w:p>
      <w:pPr>
        <w:pStyle w:val="Heading2"/>
      </w:pPr>
      <w:r>
        <w:t xml:space="preserve">NUMERI CHIAVE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Metrica</w:t>
            </w:r>
          </w:p>
        </w:tc>
        <w:tc>
          <w:tcPr/>
          <w:p>
            <w:pPr>
              <w:pStyle w:val="Compact"/>
              <w:jc w:val="left"/>
            </w:pPr>
            <w:r>
              <w:t xml:space="preserve">Valore</w:t>
            </w:r>
          </w:p>
        </w:tc>
        <w:tc>
          <w:tcPr/>
          <w:p>
            <w:pPr>
              <w:pStyle w:val="Compact"/>
              <w:jc w:val="left"/>
            </w:pPr>
            <w:r>
              <w:t xml:space="preserve">Note</w:t>
            </w:r>
          </w:p>
        </w:tc>
      </w:tr>
      <w:tr>
        <w:tc>
          <w:tcPr/>
          <w:p>
            <w:pPr>
              <w:pStyle w:val="Compact"/>
              <w:jc w:val="left"/>
            </w:pPr>
            <w:r>
              <w:t xml:space="preserve">CapEx Y1 6A baseline</w:t>
            </w:r>
          </w:p>
        </w:tc>
        <w:tc>
          <w:tcPr/>
          <w:p>
            <w:pPr>
              <w:pStyle w:val="Compact"/>
              <w:jc w:val="left"/>
            </w:pPr>
            <w:r>
              <w:rPr>
                <w:bCs/>
                <w:b/>
              </w:rPr>
              <w:t xml:space="preserve">€700-1200k</w:t>
            </w:r>
          </w:p>
        </w:tc>
        <w:tc>
          <w:tcPr/>
          <w:p>
            <w:pPr>
              <w:pStyle w:val="Compact"/>
              <w:jc w:val="left"/>
            </w:pPr>
            <w:r>
              <w:t xml:space="preserve">+ IVA + contingency 15% → €975k-1.96M; sliding realistic €2.5-3.5M</w:t>
            </w:r>
          </w:p>
        </w:tc>
      </w:tr>
      <w:tr>
        <w:tc>
          <w:tcPr/>
          <w:p>
            <w:pPr>
              <w:pStyle w:val="Compact"/>
              <w:jc w:val="left"/>
            </w:pPr>
            <w:r>
              <w:t xml:space="preserve">OpEx run-rate Y2+</w:t>
            </w:r>
          </w:p>
        </w:tc>
        <w:tc>
          <w:tcPr/>
          <w:p>
            <w:pPr>
              <w:pStyle w:val="Compact"/>
              <w:jc w:val="left"/>
            </w:pPr>
            <w:r>
              <w:rPr>
                <w:bCs/>
                <w:b/>
              </w:rPr>
              <w:t xml:space="preserve">€1.18M/anno</w:t>
            </w:r>
          </w:p>
        </w:tc>
        <w:tc>
          <w:tcPr/>
          <w:p>
            <w:pPr>
              <w:pStyle w:val="Compact"/>
              <w:jc w:val="left"/>
            </w:pPr>
            <w:r>
              <w:t xml:space="preserve">Include +3 FTE regulatory team obbligatori post Cap.5 §5.17</w:t>
            </w:r>
          </w:p>
        </w:tc>
      </w:tr>
      <w:tr>
        <w:tc>
          <w:tcPr/>
          <w:p>
            <w:pPr>
              <w:pStyle w:val="Compact"/>
              <w:jc w:val="left"/>
            </w:pPr>
            <w:r>
              <w:t xml:space="preserve">Revenue Y1 baseline</w:t>
            </w:r>
          </w:p>
        </w:tc>
        <w:tc>
          <w:tcPr/>
          <w:p>
            <w:pPr>
              <w:pStyle w:val="Compact"/>
              <w:jc w:val="left"/>
            </w:pPr>
            <w:r>
              <w:rPr>
                <w:bCs/>
                <w:b/>
              </w:rPr>
              <w:t xml:space="preserve">€260k</w:t>
            </w:r>
            <w:r>
              <w:t xml:space="preserve"> </w:t>
            </w:r>
            <w:r>
              <w:t xml:space="preserve">(RECALIBRATED)</w:t>
            </w:r>
          </w:p>
        </w:tc>
        <w:tc>
          <w:tcPr/>
          <w:p>
            <w:pPr>
              <w:pStyle w:val="Compact"/>
              <w:jc w:val="left"/>
            </w:pPr>
            <w:r>
              <w:t xml:space="preserve">Pricing PA €75k/anno (vs €150k originale falsificato da Cluster D)</w:t>
            </w:r>
          </w:p>
        </w:tc>
      </w:tr>
      <w:tr>
        <w:tc>
          <w:tcPr/>
          <w:p>
            <w:pPr>
              <w:pStyle w:val="Compact"/>
              <w:jc w:val="left"/>
            </w:pPr>
            <w:r>
              <w:t xml:space="preserve">Break-even cumulato</w:t>
            </w:r>
          </w:p>
        </w:tc>
        <w:tc>
          <w:tcPr/>
          <w:p>
            <w:pPr>
              <w:pStyle w:val="Compact"/>
              <w:jc w:val="left"/>
            </w:pPr>
            <w:r>
              <w:rPr>
                <w:bCs/>
                <w:b/>
              </w:rPr>
              <w:t xml:space="preserve">Y4-Y5</w:t>
            </w:r>
            <w:r>
              <w:t xml:space="preserve"> </w:t>
            </w:r>
            <w:r>
              <w:t xml:space="preserve">baseline / Y6-Y7 sliding</w:t>
            </w:r>
          </w:p>
        </w:tc>
        <w:tc>
          <w:tcPr/>
          <w:p>
            <w:pPr>
              <w:pStyle w:val="Compact"/>
              <w:jc w:val="left"/>
            </w:pPr>
            <w:r>
              <w:t xml:space="preserve">Dipende esecuzione Y1-Y3</w:t>
            </w:r>
          </w:p>
        </w:tc>
      </w:tr>
      <w:tr>
        <w:tc>
          <w:tcPr/>
          <w:p>
            <w:pPr>
              <w:pStyle w:val="Compact"/>
              <w:jc w:val="left"/>
            </w:pPr>
            <w:r>
              <w:t xml:space="preserve">NPV 10y (WACC 12%)</w:t>
            </w:r>
          </w:p>
        </w:tc>
        <w:tc>
          <w:tcPr/>
          <w:p>
            <w:pPr>
              <w:pStyle w:val="Compact"/>
              <w:jc w:val="left"/>
            </w:pPr>
            <w:r>
              <w:rPr>
                <w:bCs/>
                <w:b/>
              </w:rPr>
              <w:t xml:space="preserve">+€3.5M</w:t>
            </w:r>
            <w:r>
              <w:t xml:space="preserve"> </w:t>
            </w:r>
            <w:r>
              <w:t xml:space="preserve">scenario base</w:t>
            </w:r>
          </w:p>
        </w:tc>
        <w:tc>
          <w:tcPr/>
          <w:p>
            <w:pPr>
              <w:pStyle w:val="Compact"/>
              <w:jc w:val="left"/>
            </w:pPr>
            <w:r>
              <w:t xml:space="preserve">Worst -€2M / Best +€25M</w:t>
            </w:r>
          </w:p>
        </w:tc>
      </w:tr>
      <w:tr>
        <w:tc>
          <w:tcPr/>
          <w:p>
            <w:pPr>
              <w:pStyle w:val="Compact"/>
              <w:jc w:val="left"/>
            </w:pPr>
            <w:r>
              <w:t xml:space="preserve">Capital intensity 10y small fleet (5-10 HAPS)</w:t>
            </w:r>
          </w:p>
        </w:tc>
        <w:tc>
          <w:tcPr/>
          <w:p>
            <w:pPr>
              <w:pStyle w:val="Compact"/>
              <w:jc w:val="left"/>
            </w:pPr>
            <w:r>
              <w:rPr>
                <w:bCs/>
                <w:b/>
              </w:rPr>
              <w:t xml:space="preserve">€500M-€2B</w:t>
            </w:r>
          </w:p>
        </w:tc>
        <w:tc>
          <w:tcPr/>
          <w:p>
            <w:pPr>
              <w:pStyle w:val="Compact"/>
              <w:jc w:val="left"/>
            </w:pPr>
            <w:r>
              <w:t xml:space="preserve">Scenario "standalone IT operator small fleet" (B2-relaxed)</w:t>
            </w:r>
          </w:p>
        </w:tc>
      </w:tr>
      <w:tr>
        <w:tc>
          <w:tcPr/>
          <w:p>
            <w:pPr>
              <w:pStyle w:val="Compact"/>
              <w:jc w:val="left"/>
            </w:pPr>
            <w:r>
              <w:t xml:space="preserve">Capital intensity 10y EU sovereign full scale (100+ HAPS)</w:t>
            </w:r>
          </w:p>
        </w:tc>
        <w:tc>
          <w:tcPr/>
          <w:p>
            <w:pPr>
              <w:pStyle w:val="Compact"/>
              <w:jc w:val="left"/>
            </w:pPr>
            <w:r>
              <w:rPr>
                <w:bCs/>
                <w:b/>
              </w:rPr>
              <w:t xml:space="preserve">€10-30B</w:t>
            </w:r>
          </w:p>
        </w:tc>
        <w:tc>
          <w:tcPr/>
          <w:p>
            <w:pPr>
              <w:pStyle w:val="Compact"/>
              <w:jc w:val="left"/>
            </w:pPr>
            <w:r>
              <w:t xml:space="preserve">Richiede programma EU equivalente IRIS² come precondizione esterna</w:t>
            </w:r>
          </w:p>
        </w:tc>
      </w:tr>
    </w:tbl>
    <w:bookmarkEnd w:id="22"/>
    <w:bookmarkStart w:id="23" w:name="risk-profile"/>
    <w:p>
      <w:pPr>
        <w:pStyle w:val="Heading2"/>
      </w:pPr>
      <w:r>
        <w:t xml:space="preserve">RISK PROFILE</w:t>
      </w:r>
    </w:p>
    <w:p>
      <w:pPr>
        <w:pStyle w:val="FirstParagraph"/>
      </w:pPr>
      <w:r>
        <w:t xml:space="preserve">I cinque</w:t>
      </w:r>
      <w:r>
        <w:t xml:space="preserve"> </w:t>
      </w:r>
      <w:r>
        <w:rPr>
          <w:bCs/>
          <w:b/>
        </w:rPr>
        <w:t xml:space="preserve">Showstopper formali</w:t>
      </w:r>
      <w:r>
        <w:t xml:space="preserve"> </w:t>
      </w:r>
      <w:r>
        <w:t xml:space="preserve">registrati nel Risk Register A.2 dominano il profilo di rischio del progetto:</w:t>
      </w:r>
    </w:p>
    <w:p>
      <w:pPr>
        <w:numPr>
          <w:ilvl w:val="0"/>
          <w:numId w:val="1001"/>
        </w:numPr>
        <w:pStyle w:val="Compact"/>
      </w:pPr>
      <w:r>
        <w:rPr>
          <w:bCs/>
          <w:b/>
        </w:rPr>
        <w:t xml:space="preserve">RSK-TEC-001</w:t>
      </w:r>
      <w:r>
        <w:t xml:space="preserve">: Energy balance HALE inverno (margine reale -50.1%, simulazione completa); E5 Seasonal mandatory; perennial 44°N non fattibile baseline 2026-2028, score</w:t>
      </w:r>
      <w:r>
        <w:t xml:space="preserve"> </w:t>
      </w:r>
      <w:r>
        <w:rPr>
          <w:bCs/>
          <w:b/>
        </w:rPr>
        <w:t xml:space="preserve">25</w:t>
      </w:r>
    </w:p>
    <w:p>
      <w:pPr>
        <w:numPr>
          <w:ilvl w:val="0"/>
          <w:numId w:val="1001"/>
        </w:numPr>
        <w:pStyle w:val="Compact"/>
      </w:pPr>
      <w:r>
        <w:rPr>
          <w:bCs/>
          <w:b/>
        </w:rPr>
        <w:t xml:space="preserve">RSK-REG-001</w:t>
      </w:r>
      <w:r>
        <w:t xml:space="preserve">: Mancanza framework HAPS EU (EASA RMT non aperto), score 20</w:t>
      </w:r>
    </w:p>
    <w:p>
      <w:pPr>
        <w:numPr>
          <w:ilvl w:val="0"/>
          <w:numId w:val="1001"/>
        </w:numPr>
        <w:pStyle w:val="Compact"/>
      </w:pPr>
      <w:r>
        <w:rPr>
          <w:bCs/>
          <w:b/>
        </w:rPr>
        <w:t xml:space="preserve">RSK-FIN-001</w:t>
      </w:r>
      <w:r>
        <w:t xml:space="preserve">: Mancanza funding Phase B 6B €5.5-13.5M committed, score 20</w:t>
      </w:r>
    </w:p>
    <w:p>
      <w:pPr>
        <w:numPr>
          <w:ilvl w:val="0"/>
          <w:numId w:val="1001"/>
        </w:numPr>
        <w:pStyle w:val="Compact"/>
      </w:pPr>
      <w:r>
        <w:rPr>
          <w:bCs/>
          <w:b/>
        </w:rPr>
        <w:t xml:space="preserve">RSK-TEC-002</w:t>
      </w:r>
      <w:r>
        <w:t xml:space="preserve">: Aeroelasticità ala high-AR, score 15</w:t>
      </w:r>
    </w:p>
    <w:p>
      <w:pPr>
        <w:numPr>
          <w:ilvl w:val="0"/>
          <w:numId w:val="1001"/>
        </w:numPr>
        <w:pStyle w:val="Compact"/>
      </w:pPr>
      <w:r>
        <w:rPr>
          <w:bCs/>
          <w:b/>
        </w:rPr>
        <w:t xml:space="preserve">RSK-TEC-003</w:t>
      </w:r>
      <w:r>
        <w:t xml:space="preserve">: Type Certification HALE &gt;5 anni timeline, score 16</w:t>
      </w:r>
    </w:p>
    <w:p>
      <w:pPr>
        <w:pStyle w:val="FirstParagraph"/>
      </w:pPr>
      <w:r>
        <w:t xml:space="preserve">A questi si sommano cinque (più uno) critical regolatori aggiuntivi documentati al Cap. 5 §5.16: Part-IS EASA Information Security (urgente Y0), AgID/PSN hosting dati PA, affidamento PA art. 50 Codice Contratti, NIS2 registrazione operativa (immediata), procedure ENAV FL400+ e coordinamento EUROCONTROL HAPS.</w:t>
      </w:r>
    </w:p>
    <w:p>
      <w:pPr>
        <w:pStyle w:val="BodyText"/>
      </w:pPr>
      <w:r>
        <w:t xml:space="preserve">L'evoluzione del risk profile passa da 17 RED iniziali a 2 RED post-mitigation, con una riduzione dell'88%.</w:t>
      </w:r>
    </w:p>
    <w:bookmarkEnd w:id="23"/>
    <w:bookmarkStart w:id="24" w:name="financial-mix-raccomandato-y1"/>
    <w:p>
      <w:pPr>
        <w:pStyle w:val="Heading2"/>
      </w:pPr>
      <w:r>
        <w:t xml:space="preserve">FINANCIAL MIX RACCOMANDATO Y1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Fonte</w:t>
            </w:r>
          </w:p>
        </w:tc>
        <w:tc>
          <w:tcPr/>
          <w:p>
            <w:pPr>
              <w:pStyle w:val="Compact"/>
              <w:jc w:val="left"/>
            </w:pPr>
            <w:r>
              <w:t xml:space="preserve">Target €</w:t>
            </w:r>
          </w:p>
        </w:tc>
        <w:tc>
          <w:tcPr/>
          <w:p>
            <w:pPr>
              <w:pStyle w:val="Compact"/>
              <w:jc w:val="left"/>
            </w:pPr>
            <w:r>
              <w:t xml:space="preserve">%</w:t>
            </w:r>
          </w:p>
        </w:tc>
        <w:tc>
          <w:tcPr/>
          <w:p>
            <w:pPr>
              <w:pStyle w:val="Compact"/>
              <w:jc w:val="left"/>
            </w:pPr>
            <w:r>
              <w:t xml:space="preserve">Status M+3</w:t>
            </w:r>
          </w:p>
        </w:tc>
      </w:tr>
      <w:tr>
        <w:tc>
          <w:tcPr/>
          <w:p>
            <w:pPr>
              <w:pStyle w:val="Compact"/>
              <w:jc w:val="left"/>
            </w:pPr>
            <w:r>
              <w:t xml:space="preserve">Coopfond Cooding Prototypes</w:t>
            </w:r>
          </w:p>
        </w:tc>
        <w:tc>
          <w:tcPr/>
          <w:p>
            <w:pPr>
              <w:pStyle w:val="Compact"/>
              <w:jc w:val="left"/>
            </w:pPr>
            <w:r>
              <w:t xml:space="preserve">50k</w:t>
            </w:r>
          </w:p>
        </w:tc>
        <w:tc>
          <w:tcPr/>
          <w:p>
            <w:pPr>
              <w:pStyle w:val="Compact"/>
              <w:jc w:val="left"/>
            </w:pPr>
            <w:r>
              <w:t xml:space="preserve">4%</w:t>
            </w:r>
          </w:p>
        </w:tc>
        <w:tc>
          <w:tcPr/>
          <w:p>
            <w:pPr>
              <w:pStyle w:val="Compact"/>
              <w:jc w:val="left"/>
            </w:pPr>
            <w:r>
              <w:t xml:space="preserve">pending DR-002 verifica bando 2026</w:t>
            </w:r>
          </w:p>
        </w:tc>
      </w:tr>
      <w:tr>
        <w:tc>
          <w:tcPr/>
          <w:p>
            <w:pPr>
              <w:pStyle w:val="Compact"/>
              <w:jc w:val="left"/>
            </w:pPr>
            <w:r>
              <w:t xml:space="preserve">Coopfond Cooding-Invest</w:t>
            </w:r>
          </w:p>
        </w:tc>
        <w:tc>
          <w:tcPr/>
          <w:p>
            <w:pPr>
              <w:pStyle w:val="Compact"/>
              <w:jc w:val="left"/>
            </w:pPr>
            <w:r>
              <w:t xml:space="preserve">220k</w:t>
            </w:r>
          </w:p>
        </w:tc>
        <w:tc>
          <w:tcPr/>
          <w:p>
            <w:pPr>
              <w:pStyle w:val="Compact"/>
              <w:jc w:val="left"/>
            </w:pPr>
            <w:r>
              <w:t xml:space="preserve">16%</w:t>
            </w:r>
          </w:p>
        </w:tc>
        <w:tc>
          <w:tcPr/>
          <w:p>
            <w:pPr>
              <w:pStyle w:val="Compact"/>
              <w:jc w:val="left"/>
            </w:pPr>
            <w:r>
              <w:t xml:space="preserve">pending Q2 2026</w:t>
            </w:r>
          </w:p>
        </w:tc>
      </w:tr>
      <w:tr>
        <w:tc>
          <w:tcPr/>
          <w:p>
            <w:pPr>
              <w:pStyle w:val="Compact"/>
              <w:jc w:val="left"/>
            </w:pPr>
            <w:r>
              <w:t xml:space="preserve">Regione Liguria FESR</w:t>
            </w:r>
          </w:p>
        </w:tc>
        <w:tc>
          <w:tcPr/>
          <w:p>
            <w:pPr>
              <w:pStyle w:val="Compact"/>
              <w:jc w:val="left"/>
            </w:pPr>
            <w:r>
              <w:t xml:space="preserve">400k</w:t>
            </w:r>
          </w:p>
        </w:tc>
        <w:tc>
          <w:tcPr/>
          <w:p>
            <w:pPr>
              <w:pStyle w:val="Compact"/>
              <w:jc w:val="left"/>
            </w:pPr>
            <w:r>
              <w:t xml:space="preserve">29%</w:t>
            </w:r>
          </w:p>
        </w:tc>
        <w:tc>
          <w:tcPr/>
          <w:p>
            <w:pPr>
              <w:pStyle w:val="Compact"/>
              <w:jc w:val="left"/>
            </w:pPr>
            <w:r>
              <w:t xml:space="preserve">pending OQ-010 LoI</w:t>
            </w:r>
          </w:p>
        </w:tc>
      </w:tr>
      <w:tr>
        <w:tc>
          <w:tcPr/>
          <w:p>
            <w:pPr>
              <w:pStyle w:val="Compact"/>
              <w:jc w:val="left"/>
            </w:pPr>
            <w:r>
              <w:t xml:space="preserve">PNRR Aerospazio</w:t>
            </w:r>
          </w:p>
        </w:tc>
        <w:tc>
          <w:tcPr/>
          <w:p>
            <w:pPr>
              <w:pStyle w:val="Compact"/>
              <w:jc w:val="left"/>
            </w:pPr>
            <w:r>
              <w:t xml:space="preserve">100k</w:t>
            </w:r>
          </w:p>
        </w:tc>
        <w:tc>
          <w:tcPr/>
          <w:p>
            <w:pPr>
              <w:pStyle w:val="Compact"/>
              <w:jc w:val="left"/>
            </w:pPr>
            <w:r>
              <w:t xml:space="preserve">7%</w:t>
            </w:r>
          </w:p>
        </w:tc>
        <w:tc>
          <w:tcPr/>
          <w:p>
            <w:pPr>
              <w:pStyle w:val="Compact"/>
              <w:jc w:val="left"/>
            </w:pPr>
            <w:r>
              <w:t xml:space="preserve">pending partnership Polito</w:t>
            </w:r>
          </w:p>
        </w:tc>
      </w:tr>
      <w:tr>
        <w:tc>
          <w:tcPr/>
          <w:p>
            <w:pPr>
              <w:pStyle w:val="Compact"/>
              <w:jc w:val="left"/>
            </w:pPr>
            <w:r>
              <w:t xml:space="preserve">Equity privato (founder + seed)</w:t>
            </w:r>
          </w:p>
        </w:tc>
        <w:tc>
          <w:tcPr/>
          <w:p>
            <w:pPr>
              <w:pStyle w:val="Compact"/>
              <w:jc w:val="left"/>
            </w:pPr>
            <w:r>
              <w:t xml:space="preserve">350k</w:t>
            </w:r>
          </w:p>
        </w:tc>
        <w:tc>
          <w:tcPr/>
          <w:p>
            <w:pPr>
              <w:pStyle w:val="Compact"/>
              <w:jc w:val="left"/>
            </w:pPr>
            <w:r>
              <w:t xml:space="preserve">25%</w:t>
            </w:r>
          </w:p>
        </w:tc>
        <w:tc>
          <w:tcPr/>
          <w:p>
            <w:pPr>
              <w:pStyle w:val="Compact"/>
              <w:jc w:val="left"/>
            </w:pPr>
            <w:r>
              <w:t xml:space="preserve">OK round Q1-Q2 2026</w:t>
            </w:r>
          </w:p>
        </w:tc>
      </w:tr>
      <w:tr>
        <w:tc>
          <w:tcPr/>
          <w:p>
            <w:pPr>
              <w:pStyle w:val="Compact"/>
              <w:jc w:val="left"/>
            </w:pPr>
            <w:r>
              <w:t xml:space="preserve">R&amp;D tax credit</w:t>
            </w:r>
          </w:p>
        </w:tc>
        <w:tc>
          <w:tcPr/>
          <w:p>
            <w:pPr>
              <w:pStyle w:val="Compact"/>
              <w:jc w:val="left"/>
            </w:pPr>
            <w:r>
              <w:t xml:space="preserve">100k</w:t>
            </w:r>
          </w:p>
        </w:tc>
        <w:tc>
          <w:tcPr/>
          <w:p>
            <w:pPr>
              <w:pStyle w:val="Compact"/>
              <w:jc w:val="left"/>
            </w:pPr>
            <w:r>
              <w:t xml:space="preserve">7%</w:t>
            </w:r>
          </w:p>
        </w:tc>
        <w:tc>
          <w:tcPr/>
          <w:p>
            <w:pPr>
              <w:pStyle w:val="Compact"/>
              <w:jc w:val="left"/>
            </w:pPr>
            <w:r>
              <w:t xml:space="preserve">OK cumulabile</w:t>
            </w:r>
          </w:p>
        </w:tc>
      </w:tr>
      <w:tr>
        <w:tc>
          <w:tcPr/>
          <w:p>
            <w:pPr>
              <w:pStyle w:val="Compact"/>
              <w:jc w:val="left"/>
            </w:pPr>
            <w:r>
              <w:rPr>
                <w:bCs/>
                <w:b/>
              </w:rPr>
              <w:t xml:space="preserve">GAP residuo</w:t>
            </w:r>
          </w:p>
        </w:tc>
        <w:tc>
          <w:tcPr/>
          <w:p>
            <w:pPr>
              <w:pStyle w:val="Compact"/>
              <w:jc w:val="left"/>
            </w:pPr>
            <w:r>
              <w:t xml:space="preserve">180k</w:t>
            </w:r>
          </w:p>
        </w:tc>
        <w:tc>
          <w:tcPr/>
          <w:p>
            <w:pPr>
              <w:pStyle w:val="Compact"/>
              <w:jc w:val="left"/>
            </w:pPr>
            <w:r>
              <w:t xml:space="preserve">13%</w:t>
            </w:r>
          </w:p>
        </w:tc>
        <w:tc>
          <w:tcPr/>
          <w:p>
            <w:pPr>
              <w:pStyle w:val="Compact"/>
              <w:jc w:val="left"/>
            </w:pPr>
            <w:r>
              <w:t xml:space="preserve">warning bridge loan / EIC</w:t>
            </w:r>
          </w:p>
        </w:tc>
      </w:tr>
      <w:tr>
        <w:tc>
          <w:tcPr/>
          <w:p>
            <w:pPr>
              <w:pStyle w:val="Compact"/>
              <w:jc w:val="left"/>
            </w:pPr>
            <w:r>
              <w:rPr>
                <w:bCs/>
                <w:b/>
              </w:rPr>
              <w:t xml:space="preserve">Totale</w:t>
            </w:r>
          </w:p>
        </w:tc>
        <w:tc>
          <w:tcPr/>
          <w:p>
            <w:pPr>
              <w:pStyle w:val="Compact"/>
              <w:jc w:val="left"/>
            </w:pPr>
            <w:r>
              <w:rPr>
                <w:bCs/>
                <w:b/>
              </w:rPr>
              <w:t xml:space="preserve">€1.4M</w:t>
            </w:r>
          </w:p>
        </w:tc>
        <w:tc>
          <w:tcPr/>
          <w:p>
            <w:pPr>
              <w:pStyle w:val="Compact"/>
              <w:jc w:val="left"/>
            </w:pPr>
            <w:r>
              <w:t xml:space="preserve">100%</w:t>
            </w:r>
          </w:p>
        </w:tc>
        <w:tc>
          <w:tcPr/>
          <w:p>
            <w:pPr>
              <w:pStyle w:val="Compact"/>
              <w:jc w:val="left"/>
            </w:pPr>
            <w:r>
              <w:t xml:space="preserve">Mix da consolidare</w:t>
            </w:r>
          </w:p>
        </w:tc>
      </w:tr>
    </w:tbl>
    <w:bookmarkEnd w:id="24"/>
    <w:bookmarkStart w:id="25" w:name="decisione-formale-cda-richiesta"/>
    <w:p>
      <w:pPr>
        <w:pStyle w:val="Heading2"/>
      </w:pPr>
      <w:r>
        <w:t xml:space="preserve">DECISIONE FORMALE CDA RICHIESTA</w:t>
      </w:r>
    </w:p>
    <w:p>
      <w:pPr>
        <w:pStyle w:val="FirstParagraph"/>
      </w:pPr>
      <w:r>
        <w:t xml:space="preserve">Il CdA è chiamato ad approvare lo Studio di Fattibilità Vol. 1+2+3 nella versione M+3 bozza, il GO CONDIZIONATO 6A subordinato alle 5 hard conditions, l'HOLD 6B con pivot strutturale verso il modello prime contractor, il budget Y1 di €2.5-3.5M (CapEx, OpEx, bridge financing e regulatory team), il doppio binario di pianificazione (nominal e sliding timeline Cap. 9 §9.12), l'assunzione di 3 FTE regulatory (CISO, DPO, Head Regulatory) entro M+6, l'ingaggio istituzionale con Regione Liguria, Coopfond, Comune Torriglia e cooperative entro M+6 e infine la re-baseline del Gate G3-bis a M+13-16 come opzione legittima.</w:t>
      </w:r>
    </w:p>
    <w:bookmarkEnd w:id="25"/>
    <w:bookmarkStart w:id="26" w:name="X01b7dcc1d4c7931d65602961766dfbe2e64b561"/>
    <w:p>
      <w:pPr>
        <w:pStyle w:val="Heading2"/>
      </w:pPr>
      <w:r>
        <w:t xml:space="preserve">TOP-10 AZIONI PRIORITARIE (DETTAGLIO in master checklist G3)</w:t>
      </w:r>
    </w:p>
    <w:p>
      <w:pPr>
        <w:numPr>
          <w:ilvl w:val="0"/>
          <w:numId w:val="1002"/>
        </w:numPr>
        <w:pStyle w:val="Compact"/>
      </w:pPr>
      <w:r>
        <w:rPr>
          <w:bCs/>
          <w:b/>
        </w:rPr>
        <w:t xml:space="preserve">Capital structure resistente</w:t>
      </w:r>
      <w:r>
        <w:t xml:space="preserve"> </w:t>
      </w:r>
      <w:r>
        <w:t xml:space="preserve">(founder ≥ 51% + golden share + anti-acquisition), M+6</w:t>
      </w:r>
    </w:p>
    <w:p>
      <w:pPr>
        <w:numPr>
          <w:ilvl w:val="0"/>
          <w:numId w:val="1002"/>
        </w:numPr>
        <w:pStyle w:val="Compact"/>
      </w:pPr>
      <w:r>
        <w:rPr>
          <w:bCs/>
          <w:b/>
        </w:rPr>
        <w:t xml:space="preserve">LoI Regione Liguria</w:t>
      </w:r>
      <w:r>
        <w:t xml:space="preserve"> </w:t>
      </w:r>
      <w:r>
        <w:t xml:space="preserve">firmata con DGR specifica, M+6</w:t>
      </w:r>
    </w:p>
    <w:p>
      <w:pPr>
        <w:numPr>
          <w:ilvl w:val="0"/>
          <w:numId w:val="1002"/>
        </w:numPr>
        <w:pStyle w:val="Compact"/>
      </w:pPr>
      <w:r>
        <w:rPr>
          <w:bCs/>
          <w:b/>
        </w:rPr>
        <w:t xml:space="preserve">Pre-application meeting ENAC</w:t>
      </w:r>
      <w:r>
        <w:t xml:space="preserve"> </w:t>
      </w:r>
      <w:r>
        <w:t xml:space="preserve">+ feedback documentato, M+3-6</w:t>
      </w:r>
    </w:p>
    <w:p>
      <w:pPr>
        <w:numPr>
          <w:ilvl w:val="0"/>
          <w:numId w:val="1002"/>
        </w:numPr>
        <w:pStyle w:val="Compact"/>
      </w:pPr>
      <w:r>
        <w:rPr>
          <w:bCs/>
          <w:b/>
        </w:rPr>
        <w:t xml:space="preserve">Workshop pubblico comunità Pentema (14 abitanti)</w:t>
      </w:r>
      <w:r>
        <w:t xml:space="preserve"> </w:t>
      </w:r>
      <w:r>
        <w:t xml:space="preserve">+ DPIA pubblica, M+3-6</w:t>
      </w:r>
    </w:p>
    <w:p>
      <w:pPr>
        <w:numPr>
          <w:ilvl w:val="0"/>
          <w:numId w:val="1002"/>
        </w:numPr>
        <w:pStyle w:val="Compact"/>
      </w:pPr>
      <w:r>
        <w:rPr>
          <w:bCs/>
          <w:b/>
        </w:rPr>
        <w:t xml:space="preserve">Assunzione 3 FTE regulatory</w:t>
      </w:r>
      <w:r>
        <w:t xml:space="preserve"> </w:t>
      </w:r>
      <w:r>
        <w:t xml:space="preserve">(CISO + DPO + Head Regulatory), M+6-9</w:t>
      </w:r>
    </w:p>
    <w:p>
      <w:pPr>
        <w:numPr>
          <w:ilvl w:val="0"/>
          <w:numId w:val="1002"/>
        </w:numPr>
        <w:pStyle w:val="Compact"/>
      </w:pPr>
      <w:r>
        <w:rPr>
          <w:bCs/>
          <w:b/>
        </w:rPr>
        <w:t xml:space="preserve">Benchmark pricing PA reale</w:t>
      </w:r>
      <w:r>
        <w:t xml:space="preserve"> </w:t>
      </w:r>
      <w:r>
        <w:t xml:space="preserve">(e-GEOS / Planetek / NHazca), M+6</w:t>
      </w:r>
    </w:p>
    <w:p>
      <w:pPr>
        <w:numPr>
          <w:ilvl w:val="0"/>
          <w:numId w:val="1002"/>
        </w:numPr>
        <w:pStyle w:val="Compact"/>
      </w:pPr>
      <w:r>
        <w:rPr>
          <w:bCs/>
          <w:b/>
        </w:rPr>
        <w:t xml:space="preserve">Quotation JOUAV + Tekever</w:t>
      </w:r>
      <w:r>
        <w:t xml:space="preserve"> </w:t>
      </w:r>
      <w:r>
        <w:t xml:space="preserve">parallele per CapEx accurate, M+3</w:t>
      </w:r>
    </w:p>
    <w:p>
      <w:pPr>
        <w:numPr>
          <w:ilvl w:val="0"/>
          <w:numId w:val="1002"/>
        </w:numPr>
        <w:pStyle w:val="Compact"/>
      </w:pPr>
      <w:r>
        <w:rPr>
          <w:bCs/>
          <w:b/>
        </w:rPr>
        <w:t xml:space="preserve">Engagement EASA Innovation Network</w:t>
      </w:r>
      <w:r>
        <w:t xml:space="preserve"> </w:t>
      </w:r>
      <w:r>
        <w:t xml:space="preserve">+ RMT HAPS request, M+9-12</w:t>
      </w:r>
    </w:p>
    <w:p>
      <w:pPr>
        <w:numPr>
          <w:ilvl w:val="0"/>
          <w:numId w:val="1002"/>
        </w:numPr>
        <w:pStyle w:val="Compact"/>
      </w:pPr>
      <w:r>
        <w:rPr>
          <w:bCs/>
          <w:b/>
        </w:rPr>
        <w:t xml:space="preserve">Modello finanziario Excel</w:t>
      </w:r>
      <w:r>
        <w:t xml:space="preserve"> </w:t>
      </w:r>
      <w:r>
        <w:t xml:space="preserve">+ DCF + sensitivity + Monte Carlo, M+6-9</w:t>
      </w:r>
    </w:p>
    <w:p>
      <w:pPr>
        <w:numPr>
          <w:ilvl w:val="0"/>
          <w:numId w:val="1002"/>
        </w:numPr>
        <w:pStyle w:val="Compact"/>
      </w:pPr>
      <w:r>
        <w:rPr>
          <w:bCs/>
          <w:b/>
        </w:rPr>
        <w:t xml:space="preserve">Position paper "Italian Stratospheric Sovereignty"</w:t>
      </w:r>
      <w:r>
        <w:t xml:space="preserve"> </w:t>
      </w:r>
      <w:r>
        <w:t xml:space="preserve">+ dialogo DG CNECT/DEFIS, M+9-12</w:t>
      </w:r>
    </w:p>
    <w:bookmarkEnd w:id="26"/>
    <w:bookmarkStart w:id="27" w:name="confidence-aggregato"/>
    <w:p>
      <w:pPr>
        <w:pStyle w:val="Heading2"/>
      </w:pPr>
      <w:r>
        <w:t xml:space="preserve">CONFIDENCE AGGREGATO</w:t>
      </w:r>
    </w:p>
    <w:p>
      <w:pPr>
        <w:pStyle w:val="FirstParagraph"/>
      </w:pPr>
      <w:r>
        <w:t xml:space="preserve">Volume 1, Volume 2 e Volume 3 risultano completi a M+3 bozza, con quattro audit avversariali condotti (Red Team, Competitor, Regulatory, Quality). Sui quindici DR (Debito di Rigore) ne risultano chiusi nove via desk research, mentre sei richiedono engagement esterno per chiusura. Il confidence aggregato è quindi MEDIUM-LOW e impone validazione esterna prima del G3 effettivo M+10.</w:t>
      </w:r>
    </w:p>
    <w:p>
      <w:pPr>
        <w:pStyle w:val="BodyText"/>
      </w:pPr>
      <w:r>
        <w:t xml:space="preserve">Va detto con chiarezza che il documento non è investment-grade per finanziatori istituzionali finché non saranno raccolti la LoI firmata della Regione Liguria, le vendor quotation reali, il pre-application ENAC documentato, la validazione del modello finanziario da parte di un soggetto terzo (RINA/DNV) ed eventualmente un'analisi Monte Carlo.</w:t>
      </w:r>
    </w:p>
    <w:bookmarkEnd w:id="27"/>
    <w:bookmarkStart w:id="28" w:name="firma-e-autorizzazione"/>
    <w:p>
      <w:pPr>
        <w:pStyle w:val="Heading2"/>
      </w:pPr>
      <w:r>
        <w:t xml:space="preserve">FIRMA E AUTORIZZAZIONE</w:t>
      </w:r>
    </w:p>
    <w:p>
      <w:pPr>
        <w:pStyle w:val="FirstParagraph"/>
      </w:pPr>
      <w:r>
        <w:rPr>
          <w:bCs/>
          <w:b/>
        </w:rPr>
        <w:t xml:space="preserve">Documento approvato per portare al gate G3 il</w:t>
      </w:r>
      <w:r>
        <w:t xml:space="preserve">: ____________</w:t>
      </w:r>
    </w:p>
    <w:p>
      <w:pPr>
        <w:pStyle w:val="BodyText"/>
      </w:pPr>
      <w:r>
        <w:rPr>
          <w:bCs/>
          <w:b/>
        </w:rPr>
        <w:t xml:space="preserve">Firma CEO</w:t>
      </w:r>
      <w:r>
        <w:t xml:space="preserve">: ________________</w:t>
      </w:r>
      <w:r>
        <w:t xml:space="preserve"> </w:t>
      </w:r>
      <w:r>
        <w:rPr>
          <w:bCs/>
          <w:b/>
        </w:rPr>
        <w:t xml:space="preserve">Firma CdA</w:t>
      </w:r>
      <w:r>
        <w:t xml:space="preserve">: ________________</w:t>
      </w:r>
      <w:r>
        <w:t xml:space="preserve"> </w:t>
      </w:r>
      <w:r>
        <w:rPr>
          <w:bCs/>
          <w:b/>
        </w:rPr>
        <w:t xml:space="preserve">Firma Sponsor istituzionale (Coopfond)</w:t>
      </w:r>
      <w:r>
        <w:t xml:space="preserve">: ________________</w:t>
      </w:r>
      <w:r>
        <w:t xml:space="preserve"> </w:t>
      </w:r>
      <w:r>
        <w:rPr>
          <w:bCs/>
          <w:b/>
        </w:rPr>
        <w:t xml:space="preserve">Firma Sponsor istituzionale (Regione Liguria)</w:t>
      </w:r>
      <w:r>
        <w:t xml:space="preserve">: 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2026-05-17T12:08:01Z</dcterms:created>
  <dcterms:modified xsi:type="dcterms:W3CDTF">2026-05-17T12:08:01Z</dcterms:modified>
</cp:coreProperties>
</file>

<file path=docProps/custom.xml><?xml version="1.0" encoding="utf-8"?>
<Properties xmlns="http://schemas.openxmlformats.org/officeDocument/2006/custom-properties" xmlns:vt="http://schemas.openxmlformats.org/officeDocument/2006/docPropsVTypes"/>
</file>