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000000"/>
          <w:sz w:val="20"/>
        </w:rPr>
        <w:t>Genova, 17 maggio 2026</w:t>
      </w:r>
    </w:p>
    <w:p>
      <w:pPr>
        <w:spacing w:before="240"/>
        <w:jc w:val="right"/>
      </w:pPr>
      <w:r>
        <w:rPr>
          <w:i/>
          <w:sz w:val="20"/>
        </w:rPr>
        <w:t>Spett.le</w:t>
      </w:r>
    </w:p>
    <w:p>
      <w:pPr>
        <w:spacing w:before="0" w:after="0"/>
        <w:jc w:val="right"/>
      </w:pPr>
      <w:r>
        <w:rPr>
          <w:b/>
          <w:sz w:val="20"/>
        </w:rPr>
        <w:t>ENAC, Ente Nazionale per l'Aviazione Civile</w:t>
      </w:r>
    </w:p>
    <w:p>
      <w:pPr>
        <w:spacing w:before="0" w:after="0"/>
        <w:jc w:val="right"/>
      </w:pPr>
      <w:r>
        <w:rPr>
          <w:b w:val="0"/>
          <w:sz w:val="20"/>
        </w:rPr>
        <w:t>Direzione Regolamentazione Aeroporti e Spazio Aereo, attenzione Ufficio APR</w:t>
      </w:r>
    </w:p>
    <w:p>
      <w:pPr>
        <w:spacing w:before="0" w:after="0"/>
        <w:jc w:val="right"/>
      </w:pPr>
      <w:r>
        <w:rPr>
          <w:b w:val="0"/>
          <w:sz w:val="20"/>
        </w:rPr>
        <w:t>Viale Castro Pretorio 118, 00185 Roma</w:t>
      </w:r>
    </w:p>
    <w:p>
      <w:pPr>
        <w:spacing w:before="0" w:after="0"/>
        <w:jc w:val="right"/>
      </w:pPr>
      <w:r>
        <w:rPr>
          <w:b w:val="0"/>
          <w:sz w:val="20"/>
        </w:rPr>
        <w:t>protocollo@pec.enac.gov.it</w:t>
      </w:r>
    </w:p>
    <w:p>
      <w:pPr>
        <w:spacing w:before="360"/>
        <w:jc w:val="left"/>
      </w:pPr>
      <w:r>
        <w:rPr>
          <w:b/>
          <w:color w:val="0A1A3D"/>
          <w:sz w:val="22"/>
        </w:rPr>
        <w:t xml:space="preserve">Oggetto: </w:t>
      </w:r>
      <w:r>
        <w:rPr>
          <w:sz w:val="22"/>
        </w:rPr>
        <w:t>Studio di Fattibilita Piattaforma HALE/VTOL per Aree Interne, Richiesta di pre-application meeting per validazione SAIL preliminare (Specific Category BVLOS), Caso pilota Pentema (Torriglia, GE).</w:t>
      </w:r>
    </w:p>
    <w:p>
      <w:pPr>
        <w:jc w:val="both"/>
      </w:pPr>
      <w:r>
        <w:rPr>
          <w:color w:val="000000"/>
          <w:sz w:val="22"/>
        </w:rPr>
        <w:t>Gentile Direttore,</w:t>
      </w:r>
    </w:p>
    <w:p>
      <w:pPr>
        <w:jc w:val="both"/>
      </w:pPr>
      <w:r>
        <w:rPr>
          <w:color w:val="000000"/>
          <w:sz w:val="22"/>
        </w:rPr>
        <w:t>con la presente trasmettiamo, in via informale e a soli fini istruttori, lo Studio di Fattibilita tecnico-economica del progetto "Piattaforma Aerea HALE/VTOL per Aree Interne".</w:t>
      </w:r>
    </w:p>
    <w:p>
      <w:pPr>
        <w:jc w:val="both"/>
      </w:pPr>
      <w:r>
        <w:rPr>
          <w:color w:val="000000"/>
          <w:sz w:val="22"/>
        </w:rPr>
        <w:t>Il Percorso 6A del progetto (pilota VTOL su area Pentema, Comune di Torriglia, GE) prevede operazioni BVLOS in Specific Category con classificazione SAIL preliminare III. La preparazione della SORA application (EASA SORA 2.5, ED Decision 2025/018/R Amendment 3) e in corso, e l'Allegato A.11 dello Studio contiene il Safety Case preliminare completo (Steps 1-8) con i 24 OSO matrice.</w:t>
      </w:r>
    </w:p>
    <w:p>
      <w:pPr>
        <w:jc w:val="both"/>
      </w:pPr>
      <w:r>
        <w:rPr>
          <w:color w:val="000000"/>
          <w:sz w:val="22"/>
        </w:rPr>
        <w:t>Lo Studio si articola in tre volumi:</w:t>
      </w:r>
    </w:p>
    <w:p>
      <w:r>
        <w:rPr>
          <w:sz w:val="22"/>
        </w:rPr>
        <w:t>Volume 1, Studio (testuale): 12 capitoli, dalla Sintesi Esecutiva alla Roadmap post-fattibilita, circa 350 pagine A4.</w:t>
      </w:r>
    </w:p>
    <w:p>
      <w:r>
        <w:rPr>
          <w:sz w:val="22"/>
        </w:rPr>
        <w:t>Volume 2, Allegati Tecnici: 13 allegati (RTM, Risk Register, ICD, V&amp;V Plan, Computo Metrico, Safety Case SORA, VIA preliminare e altro), comprensivo di refinement engineering-grade v2.0 (A.4 ICD, A.11 SORA, A.12 VIA) e v1.5 (A.1 RTM, A.2 Risk Register, A.9 Computo, A.10 Manutenzione).</w:t>
      </w:r>
    </w:p>
    <w:p>
      <w:r>
        <w:rPr>
          <w:sz w:val="22"/>
        </w:rPr>
        <w:t>Volume 3, Riferimenti: 5 sezioni con circa 270 riferimenti normativi, tecnici e di mercato.</w:t>
      </w:r>
    </w:p>
    <w:p>
      <w:pPr>
        <w:jc w:val="center"/>
      </w:pPr>
      <w:r>
        <w:rPr>
          <w:b/>
          <w:color w:val="0A1A3D"/>
          <w:sz w:val="24"/>
        </w:rPr>
        <w:t>Caratteristiche essenziali del progetto</w:t>
      </w:r>
    </w:p>
    <w:p>
      <w:pPr>
        <w:jc w:val="both"/>
      </w:pPr>
      <w:r>
        <w:rPr>
          <w:color w:val="000000"/>
          <w:sz w:val="22"/>
        </w:rPr>
        <w:t>Il progetto e sviluppato da Firmamento Technologies in collaborazione con una rete di dieci cooperative aderenti a Legacoop, di cui Fabrica e capofila. L'obiettivo e l'erogazione di servizi ricorrenti, monitoraggio territoriale persistente, connettivita di emergenza, supporto a Protezione Civile e cooperative, rivolti alle Aree Interne italiane. Il focus iniziale e la Regione Liguria, area SNAI Valli Antola-Tigullio, con caso pilota nella frazione di Pentema (Comune di Torriglia, Genova).</w:t>
      </w:r>
    </w:p>
    <w:p>
      <w:pPr>
        <w:jc w:val="both"/>
      </w:pPr>
      <w:r>
        <w:rPr>
          <w:color w:val="000000"/>
          <w:sz w:val="22"/>
        </w:rPr>
        <w:t>La strategia adottata e duale a riduzione del rischio. Il Percorso 6A, VTOL pilota Pentema, copre l'orizzonte 0-12 mesi con budget €700k-€2M baseline e piattaforma commerciale TRL 8-9; il verdetto raccomandato e HOLD CON PIANO REGOLATORIO RAFFORZATO come scenario base (P 45-60%), con possibilita di GO CONDIZIONATO al verificarsi simultaneo di cinque hard conditions. Il Percorso 6B, HALE stratosferico R&amp;D, copre l'orizzonte 24-48+ mesi con budget Phase B €5.5-13.5M R&amp;D-only; il verdetto raccomandato e HOLD CON CRITERI DI USCITA STRINGENTI in attesa dell'apertura del framework EASA HAPS e della disponibilita di partnership con prime contractor.</w:t>
      </w:r>
    </w:p>
    <w:p>
      <w:pPr>
        <w:jc w:val="center"/>
      </w:pPr>
      <w:r>
        <w:rPr>
          <w:b/>
          <w:color w:val="0A1A3D"/>
          <w:sz w:val="24"/>
        </w:rPr>
        <w:t>Richiesta</w:t>
      </w:r>
    </w:p>
    <w:p>
      <w:pPr>
        <w:jc w:val="both"/>
      </w:pPr>
      <w:r>
        <w:rPr>
          <w:color w:val="000000"/>
          <w:sz w:val="22"/>
        </w:rPr>
        <w:t>Disponibilita a pre-application meeting entro M+3-6 per condivisione del Concept of Operations e validazione preliminare della classificazione SAIL.</w:t>
      </w:r>
    </w:p>
    <w:p>
      <w:pPr>
        <w:jc w:val="both"/>
      </w:pPr>
      <w:r>
        <w:rPr>
          <w:color w:val="000000"/>
          <w:sz w:val="22"/>
        </w:rPr>
        <w:t>Feedback informale sull'approccio tecnico-procedurale, in particolare su: classificazione ground risk per area Pentema (sparse vs moderate), TMPR per Detect-And-Avoid non-cooperative, integrazione spazio aereo Class G mountainous.</w:t>
      </w:r>
    </w:p>
    <w:p>
      <w:pPr>
        <w:jc w:val="both"/>
      </w:pPr>
      <w:r>
        <w:rPr>
          <w:color w:val="000000"/>
          <w:sz w:val="22"/>
        </w:rPr>
        <w:t>Indicazione referente per dialogo continuativo durante la preparazione della SORA application formale.</w:t>
      </w:r>
    </w:p>
    <w:p>
      <w:pPr>
        <w:jc w:val="both"/>
      </w:pPr>
      <w:r>
        <w:rPr>
          <w:color w:val="000000"/>
          <w:sz w:val="22"/>
        </w:rPr>
        <w:t>Restiamo a disposizione per ogni chiarimento, integrazione documentale o approfondimento tecnico.</w:t>
      </w:r>
    </w:p>
    <w:p>
      <w:pPr>
        <w:jc w:val="both"/>
      </w:pPr>
      <w:r>
        <w:rPr>
          <w:color w:val="000000"/>
          <w:sz w:val="22"/>
        </w:rPr>
        <w:t>Cordiali saluti.</w:t>
      </w:r>
    </w:p>
    <w:p>
      <w:pPr>
        <w:spacing w:before="480"/>
        <w:jc w:val="right"/>
      </w:pPr>
      <w:r>
        <w:rPr>
          <w:b/>
          <w:color w:val="0A1A3D"/>
          <w:sz w:val="22"/>
        </w:rPr>
        <w:t>Firmamento Technologies Societa Cooperativa</w:t>
      </w:r>
    </w:p>
    <w:p>
      <w:pPr>
        <w:jc w:val="right"/>
      </w:pPr>
      <w:r>
        <w:rPr>
          <w:i/>
          <w:sz w:val="20"/>
        </w:rPr>
        <w:t>[Nome Amministratore Unico]</w:t>
      </w:r>
    </w:p>
    <w:p>
      <w:pPr>
        <w:jc w:val="both"/>
      </w:pPr>
      <w:r>
        <w:rPr>
          <w:b/>
          <w:color w:val="000000"/>
          <w:sz w:val="22"/>
        </w:rPr>
        <w:t>Allegati:</w:t>
      </w:r>
    </w:p>
    <w:p>
      <w:pPr>
        <w:pStyle w:val="ListBullet"/>
      </w:pPr>
      <w:r>
        <w:rPr>
          <w:sz w:val="20"/>
        </w:rPr>
        <w:t>Volume 1 - Studio (PDF firmato digitalmente)</w:t>
      </w:r>
    </w:p>
    <w:p>
      <w:pPr>
        <w:pStyle w:val="ListBullet"/>
      </w:pPr>
      <w:r>
        <w:rPr>
          <w:sz w:val="20"/>
        </w:rPr>
        <w:t>Volume 2 - Allegati Tecnici (PDF firmato digitalmente)</w:t>
      </w:r>
    </w:p>
    <w:p>
      <w:pPr>
        <w:pStyle w:val="ListBullet"/>
      </w:pPr>
      <w:r>
        <w:rPr>
          <w:sz w:val="20"/>
        </w:rPr>
        <w:t>Volume 3 - Riferimenti bibliografici (PDF)</w:t>
      </w:r>
    </w:p>
    <w:p>
      <w:pPr>
        <w:pStyle w:val="ListBullet"/>
      </w:pPr>
      <w:r>
        <w:rPr>
          <w:sz w:val="20"/>
        </w:rPr>
        <w:t>Sintesi Esecutiva 1-pagina per Consiglio di Amministrazione (PDF)</w:t>
      </w:r>
    </w:p>
    <w:p>
      <w:pPr>
        <w:pStyle w:val="ListBullet"/>
      </w:pPr>
      <w:r>
        <w:rPr>
          <w:sz w:val="20"/>
        </w:rPr>
        <w:t>Allegato A.11: SORA Safety Case Preliminary v2.0</w:t>
      </w:r>
    </w:p>
    <w:p>
      <w:pPr>
        <w:pStyle w:val="ListBullet"/>
      </w:pPr>
      <w:r>
        <w:rPr>
          <w:sz w:val="20"/>
        </w:rPr>
        <w:t>Allegato A.4: ICD Detailed v2.0 (con dettaglio DAA e Privacy)</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3A3A3A"/>
        <w:sz w:val="16"/>
      </w:rPr>
      <w:t>Firmamento Technologies Soc. Coop. . P.IVA IT03038500991 . REA 528629 . PEC firmamentotechnologies@pec.it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35"/>
      <w:gridCol w:w="6236"/>
    </w:tblGrid>
    <w:tr>
      <w:tc>
        <w:tcPr>
          <w:tcW w:type="dxa" w:w="4535"/>
          <w:vAlign w:val="center"/>
        </w:tcPr>
        <w:p>
          <w:pPr>
            <w:jc w:val="left"/>
          </w:pPr>
          <w:r>
            <w:drawing>
              <wp:inline xmlns:a="http://schemas.openxmlformats.org/drawingml/2006/main" xmlns:pic="http://schemas.openxmlformats.org/drawingml/2006/picture">
                <wp:extent cx="1620000" cy="904515"/>
                <wp:docPr id="1" name="Picture 1"/>
                <wp:cNvGraphicFramePr>
                  <a:graphicFrameLocks noChangeAspect="1"/>
                </wp:cNvGraphicFramePr>
                <a:graphic>
                  <a:graphicData uri="http://schemas.openxmlformats.org/drawingml/2006/picture">
                    <pic:pic>
                      <pic:nvPicPr>
                        <pic:cNvPr id="0" name="LogoFirmamento Technologies.png"/>
                        <pic:cNvPicPr/>
                      </pic:nvPicPr>
                      <pic:blipFill>
                        <a:blip r:embed="rId1"/>
                        <a:stretch>
                          <a:fillRect/>
                        </a:stretch>
                      </pic:blipFill>
                      <pic:spPr>
                        <a:xfrm>
                          <a:off x="0" y="0"/>
                          <a:ext cx="1620000" cy="904515"/>
                        </a:xfrm>
                        <a:prstGeom prst="rect"/>
                      </pic:spPr>
                    </pic:pic>
                  </a:graphicData>
                </a:graphic>
              </wp:inline>
            </w:drawing>
          </w:r>
        </w:p>
      </w:tc>
      <w:tc>
        <w:tcPr>
          <w:tcW w:type="dxa" w:w="4535"/>
          <w:vAlign w:val="center"/>
        </w:tcPr>
        <w:p>
          <w:pPr>
            <w:jc w:val="right"/>
          </w:pPr>
          <w:r>
            <w:rPr>
              <w:b/>
              <w:color w:val="0A1A3D"/>
              <w:sz w:val="20"/>
            </w:rPr>
            <w:t>FIRMAMENTO TECHNOLOGIES SOCIETA' COOPERATIVA</w:t>
          </w:r>
        </w:p>
        <w:p>
          <w:pPr>
            <w:jc w:val="right"/>
          </w:pPr>
          <w:r>
            <w:rPr>
              <w:color w:val="3A3A3A"/>
              <w:sz w:val="18"/>
            </w:rPr>
            <w:t>Via Brigata Liguria 105 R, 16121 Genova (GE)</w:t>
          </w:r>
        </w:p>
        <w:p>
          <w:pPr>
            <w:jc w:val="right"/>
          </w:pPr>
          <w:r>
            <w:rPr>
              <w:color w:val="3A3A3A"/>
              <w:sz w:val="18"/>
            </w:rPr>
            <w:t>P.IVA / C.F. IT03038500991 . REA 528629 . PEC: firmamentotechnologies@pec.it</w:t>
          </w:r>
        </w:p>
      </w:tc>
    </w:tr>
  </w:tbl>
  <w:p>
    <w:pPr>
      <w:pBdr>
        <w:bottom w:val="single" w:sz="12" w:space="1" w:color="0A1A3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