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color w:val="000000"/>
          <w:sz w:val="20"/>
        </w:rPr>
        <w:t>Genova, 17 maggio 2026</w:t>
      </w:r>
    </w:p>
    <w:p>
      <w:pPr>
        <w:spacing w:before="240"/>
        <w:jc w:val="right"/>
      </w:pPr>
      <w:r>
        <w:rPr>
          <w:i/>
          <w:sz w:val="20"/>
        </w:rPr>
        <w:t>Spett.le</w:t>
      </w:r>
    </w:p>
    <w:p>
      <w:pPr>
        <w:spacing w:before="0" w:after="0"/>
        <w:jc w:val="right"/>
      </w:pPr>
      <w:r>
        <w:rPr>
          <w:b/>
          <w:sz w:val="20"/>
        </w:rPr>
        <w:t>EASA, European Union Aviation Safety Agency</w:t>
      </w:r>
    </w:p>
    <w:p>
      <w:pPr>
        <w:spacing w:before="0" w:after="0"/>
        <w:jc w:val="right"/>
      </w:pPr>
      <w:r>
        <w:rPr>
          <w:b w:val="0"/>
          <w:sz w:val="20"/>
        </w:rPr>
        <w:t>Innovation Network, Drones and U-space Department</w:t>
      </w:r>
    </w:p>
    <w:p>
      <w:pPr>
        <w:spacing w:before="0" w:after="0"/>
        <w:jc w:val="right"/>
      </w:pPr>
      <w:r>
        <w:rPr>
          <w:b w:val="0"/>
          <w:sz w:val="20"/>
        </w:rPr>
        <w:t>Konrad-Adenauer-Ufer 3, 50668 Cologne, Germany</w:t>
      </w:r>
    </w:p>
    <w:p>
      <w:pPr>
        <w:spacing w:before="0" w:after="0"/>
        <w:jc w:val="right"/>
      </w:pPr>
      <w:r>
        <w:rPr>
          <w:b w:val="0"/>
          <w:sz w:val="20"/>
        </w:rPr>
        <w:t>innovation@easa.europa.eu</w:t>
      </w:r>
    </w:p>
    <w:p>
      <w:pPr>
        <w:spacing w:before="360"/>
        <w:jc w:val="left"/>
      </w:pPr>
      <w:r>
        <w:rPr>
          <w:b/>
          <w:color w:val="0A1A3D"/>
          <w:sz w:val="22"/>
        </w:rPr>
        <w:t xml:space="preserve">Oggetto: </w:t>
      </w:r>
      <w:r>
        <w:rPr>
          <w:sz w:val="22"/>
        </w:rPr>
        <w:t>Italian HALE/VTOL Feasibility Study for Inner Areas, Engagement request on EASA HAPS framework and Special Condition dialogue.</w:t>
      </w:r>
    </w:p>
    <w:p>
      <w:pPr>
        <w:jc w:val="both"/>
      </w:pPr>
      <w:r>
        <w:rPr>
          <w:color w:val="000000"/>
          <w:sz w:val="22"/>
        </w:rPr>
        <w:t>Gentile Director,</w:t>
      </w:r>
    </w:p>
    <w:p>
      <w:pPr>
        <w:jc w:val="both"/>
      </w:pPr>
      <w:r>
        <w:rPr>
          <w:color w:val="000000"/>
          <w:sz w:val="22"/>
        </w:rPr>
        <w:t>we herewith transmit the Feasibility Study of the project "HALE/VTOL Aerial Platform for Italian Inner Areas", developed by Firmamento Technologies in compliance with Italian art. 41 D.Lgs. 36/2023 and NASA Systems Engineering Handbook Rev 2 methodology.</w:t>
      </w:r>
    </w:p>
    <w:p>
      <w:pPr>
        <w:jc w:val="both"/>
      </w:pPr>
      <w:r>
        <w:rPr>
          <w:color w:val="000000"/>
          <w:sz w:val="22"/>
        </w:rPr>
        <w:t>The 6B path of the project (HALE stratospheric solar UAV) faces the well-known regulatory gap of the absence of an EASA HAPS framework. We respectfully request the opportunity to engage with the EASA Innovation Network on the topic of Special Condition HAPS, in line with the ongoing dialogue between the European HAPS industrial ecosystem (CIRA, TAS, Airbus subsidiaries, Sceye) and EASA Rulemaking.</w:t>
      </w:r>
    </w:p>
    <w:p>
      <w:pPr>
        <w:jc w:val="both"/>
      </w:pPr>
      <w:r>
        <w:rPr>
          <w:color w:val="000000"/>
          <w:sz w:val="22"/>
        </w:rPr>
        <w:t>Lo Studio si articola in tre volumi:</w:t>
      </w:r>
    </w:p>
    <w:p>
      <w:r>
        <w:rPr>
          <w:sz w:val="22"/>
        </w:rPr>
        <w:t>Volume 1, Studio (testuale): 12 capitoli, dalla Sintesi Esecutiva alla Roadmap post-fattibilita, circa 350 pagine A4.</w:t>
      </w:r>
    </w:p>
    <w:p>
      <w:r>
        <w:rPr>
          <w:sz w:val="22"/>
        </w:rPr>
        <w:t>Volume 2, Allegati Tecnici: 13 allegati (RTM, Risk Register, ICD, V&amp;V Plan, Computo Metrico, Safety Case SORA, VIA preliminare e altro), comprensivo di refinement engineering-grade v2.0 (A.4 ICD, A.11 SORA, A.12 VIA) e v1.5 (A.1 RTM, A.2 Risk Register, A.9 Computo, A.10 Manutenzione).</w:t>
      </w:r>
    </w:p>
    <w:p>
      <w:r>
        <w:rPr>
          <w:sz w:val="22"/>
        </w:rPr>
        <w:t>Volume 3, Riferimenti: 5 sezioni con circa 270 riferimenti normativi, tecnici e di mercato.</w:t>
      </w:r>
    </w:p>
    <w:p>
      <w:pPr>
        <w:jc w:val="center"/>
      </w:pPr>
      <w:r>
        <w:rPr>
          <w:b/>
          <w:color w:val="0A1A3D"/>
          <w:sz w:val="24"/>
        </w:rPr>
        <w:t>Caratteristiche essenziali del progetto</w:t>
      </w:r>
    </w:p>
    <w:p>
      <w:pPr>
        <w:jc w:val="both"/>
      </w:pPr>
      <w:r>
        <w:rPr>
          <w:color w:val="000000"/>
          <w:sz w:val="22"/>
        </w:rPr>
        <w:t>Il progetto e sviluppato da Firmamento Technologies in collaborazione con una rete di dieci cooperative aderenti a Legacoop, di cui Fabrica e capofila. L'obiettivo e l'erogazione di servizi ricorrenti, monitoraggio territoriale persistente, connettivita di emergenza, supporto a Protezione Civile e cooperative, rivolti alle Aree Interne italiane. Il focus iniziale e la Regione Liguria, area SNAI Valli Antola-Tigullio, con caso pilota nella frazione di Pentema (Comune di Torriglia, Genova).</w:t>
      </w:r>
    </w:p>
    <w:p>
      <w:pPr>
        <w:jc w:val="both"/>
      </w:pPr>
      <w:r>
        <w:rPr>
          <w:color w:val="000000"/>
          <w:sz w:val="22"/>
        </w:rPr>
        <w:t>La strategia adottata e duale a riduzione del rischio. Il Percorso 6A, VTOL pilota Pentema, copre l'orizzonte 0-12 mesi con budget €700k-€2M baseline e piattaforma commerciale TRL 8-9; il verdetto raccomandato e HOLD CON PIANO REGOLATORIO RAFFORZATO come scenario base (P 45-60%), con possibilita di GO CONDIZIONATO al verificarsi simultaneo di cinque hard conditions. Il Percorso 6B, HALE stratosferico R&amp;D, copre l'orizzonte 24-48+ mesi con budget Phase B €5.5-13.5M R&amp;D-only; il verdetto raccomandato e HOLD CON CRITERI DI USCITA STRINGENTI in attesa dell'apertura del framework EASA HAPS e della disponibilita di partnership con prime contractor.</w:t>
      </w:r>
    </w:p>
    <w:p>
      <w:pPr>
        <w:jc w:val="center"/>
      </w:pPr>
      <w:r>
        <w:rPr>
          <w:b/>
          <w:color w:val="0A1A3D"/>
          <w:sz w:val="24"/>
        </w:rPr>
        <w:t>Richiesta</w:t>
      </w:r>
    </w:p>
    <w:p>
      <w:pPr>
        <w:jc w:val="both"/>
      </w:pPr>
      <w:r>
        <w:rPr>
          <w:color w:val="000000"/>
          <w:sz w:val="22"/>
        </w:rPr>
        <w:t>Information on the timeline of any planned RMT (Rulemaking Task) on HAPS perennial operations under EASA Basic Regulation 2018/1139.</w:t>
      </w:r>
    </w:p>
    <w:p>
      <w:pPr>
        <w:jc w:val="both"/>
      </w:pPr>
      <w:r>
        <w:rPr>
          <w:color w:val="000000"/>
          <w:sz w:val="22"/>
        </w:rPr>
        <w:t>Confirmation of availability of Innovation Network office hours for early-stage consultation on the architecture choices of the project (Solar+LiS energy balance, autonomous high-altitude operations, DAA architecture).</w:t>
      </w:r>
    </w:p>
    <w:p>
      <w:pPr>
        <w:jc w:val="both"/>
      </w:pPr>
      <w:r>
        <w:rPr>
          <w:color w:val="000000"/>
          <w:sz w:val="22"/>
        </w:rPr>
        <w:t>Preliminary indication on the feasibility of a Special Condition Light UAS extension or a dedicated Special Condition negotiable for HALE solar configurations.</w:t>
      </w:r>
    </w:p>
    <w:p>
      <w:pPr>
        <w:jc w:val="both"/>
      </w:pPr>
      <w:r>
        <w:rPr>
          <w:color w:val="000000"/>
          <w:sz w:val="22"/>
        </w:rPr>
        <w:t>Restiamo a disposizione per ogni chiarimento, integrazione documentale o approfondimento tecnico.</w:t>
      </w:r>
    </w:p>
    <w:p>
      <w:pPr>
        <w:jc w:val="both"/>
      </w:pPr>
      <w:r>
        <w:rPr>
          <w:color w:val="000000"/>
          <w:sz w:val="22"/>
        </w:rPr>
        <w:t>Cordiali saluti.</w:t>
      </w:r>
    </w:p>
    <w:p>
      <w:pPr>
        <w:spacing w:before="480"/>
        <w:jc w:val="right"/>
      </w:pPr>
      <w:r>
        <w:rPr>
          <w:b/>
          <w:color w:val="0A1A3D"/>
          <w:sz w:val="22"/>
        </w:rPr>
        <w:t>Firmamento Technologies Societa Cooperativa</w:t>
      </w:r>
    </w:p>
    <w:p>
      <w:pPr>
        <w:jc w:val="right"/>
      </w:pPr>
      <w:r>
        <w:rPr>
          <w:i/>
          <w:sz w:val="20"/>
        </w:rPr>
        <w:t>[Nome Amministratore Unico]</w:t>
      </w:r>
    </w:p>
    <w:p>
      <w:pPr>
        <w:jc w:val="both"/>
      </w:pPr>
      <w:r>
        <w:rPr>
          <w:b/>
          <w:color w:val="000000"/>
          <w:sz w:val="22"/>
        </w:rPr>
        <w:t>Allegati:</w:t>
      </w:r>
    </w:p>
    <w:p>
      <w:pPr>
        <w:pStyle w:val="ListBullet"/>
      </w:pPr>
      <w:r>
        <w:rPr>
          <w:sz w:val="20"/>
        </w:rPr>
        <w:t>Volume 1 - Studio (PDF firmato digitalmente)</w:t>
      </w:r>
    </w:p>
    <w:p>
      <w:pPr>
        <w:pStyle w:val="ListBullet"/>
      </w:pPr>
      <w:r>
        <w:rPr>
          <w:sz w:val="20"/>
        </w:rPr>
        <w:t>Volume 2 - Allegati Tecnici (PDF firmato digitalmente)</w:t>
      </w:r>
    </w:p>
    <w:p>
      <w:pPr>
        <w:pStyle w:val="ListBullet"/>
      </w:pPr>
      <w:r>
        <w:rPr>
          <w:sz w:val="20"/>
        </w:rPr>
        <w:t>Volume 3 - Riferimenti bibliografici (PDF)</w:t>
      </w:r>
    </w:p>
    <w:p>
      <w:pPr>
        <w:pStyle w:val="ListBullet"/>
      </w:pPr>
      <w:r>
        <w:rPr>
          <w:sz w:val="20"/>
        </w:rPr>
        <w:t>Sintesi Esecutiva 1-pagina per Consiglio di Amministrazione (PDF)</w:t>
      </w:r>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3A3A3A"/>
        <w:sz w:val="16"/>
      </w:rPr>
      <w:t>Firmamento Technologies Soc. Coop. . P.IVA IT03038500991 . REA 528629 . PEC firmamentotechnologies@pec.it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835"/>
      <w:gridCol w:w="6236"/>
    </w:tblGrid>
    <w:tr>
      <w:tc>
        <w:tcPr>
          <w:tcW w:type="dxa" w:w="4535"/>
          <w:vAlign w:val="center"/>
        </w:tcPr>
        <w:p>
          <w:pPr>
            <w:jc w:val="left"/>
          </w:pPr>
          <w:r>
            <w:drawing>
              <wp:inline xmlns:a="http://schemas.openxmlformats.org/drawingml/2006/main" xmlns:pic="http://schemas.openxmlformats.org/drawingml/2006/picture">
                <wp:extent cx="1620000" cy="904515"/>
                <wp:docPr id="1" name="Picture 1"/>
                <wp:cNvGraphicFramePr>
                  <a:graphicFrameLocks noChangeAspect="1"/>
                </wp:cNvGraphicFramePr>
                <a:graphic>
                  <a:graphicData uri="http://schemas.openxmlformats.org/drawingml/2006/picture">
                    <pic:pic>
                      <pic:nvPicPr>
                        <pic:cNvPr id="0" name="LogoFirmamento Technologies.png"/>
                        <pic:cNvPicPr/>
                      </pic:nvPicPr>
                      <pic:blipFill>
                        <a:blip r:embed="rId1"/>
                        <a:stretch>
                          <a:fillRect/>
                        </a:stretch>
                      </pic:blipFill>
                      <pic:spPr>
                        <a:xfrm>
                          <a:off x="0" y="0"/>
                          <a:ext cx="1620000" cy="904515"/>
                        </a:xfrm>
                        <a:prstGeom prst="rect"/>
                      </pic:spPr>
                    </pic:pic>
                  </a:graphicData>
                </a:graphic>
              </wp:inline>
            </w:drawing>
          </w:r>
        </w:p>
      </w:tc>
      <w:tc>
        <w:tcPr>
          <w:tcW w:type="dxa" w:w="4535"/>
          <w:vAlign w:val="center"/>
        </w:tcPr>
        <w:p>
          <w:pPr>
            <w:jc w:val="right"/>
          </w:pPr>
          <w:r>
            <w:rPr>
              <w:b/>
              <w:color w:val="0A1A3D"/>
              <w:sz w:val="20"/>
            </w:rPr>
            <w:t>FIRMAMENTO TECHNOLOGIES SOCIETA' COOPERATIVA</w:t>
          </w:r>
        </w:p>
        <w:p>
          <w:pPr>
            <w:jc w:val="right"/>
          </w:pPr>
          <w:r>
            <w:rPr>
              <w:color w:val="3A3A3A"/>
              <w:sz w:val="18"/>
            </w:rPr>
            <w:t>Via Brigata Liguria 105 R, 16121 Genova (GE)</w:t>
          </w:r>
        </w:p>
        <w:p>
          <w:pPr>
            <w:jc w:val="right"/>
          </w:pPr>
          <w:r>
            <w:rPr>
              <w:color w:val="3A3A3A"/>
              <w:sz w:val="18"/>
            </w:rPr>
            <w:t>P.IVA / C.F. IT03038500991 . REA 528629 . PEC: firmamentotechnologies@pec.it</w:t>
          </w:r>
        </w:p>
      </w:tc>
    </w:tr>
  </w:tbl>
  <w:p>
    <w:pPr>
      <w:pBdr>
        <w:bottom w:val="single" w:sz="12" w:space="1" w:color="0A1A3D"/>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