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xp8raaen7pm" w:id="0"/>
      <w:bookmarkEnd w:id="0"/>
      <w:r w:rsidDel="00000000" w:rsidR="00000000" w:rsidRPr="00000000">
        <w:rPr>
          <w:rtl w:val="0"/>
        </w:rPr>
        <w:t xml:space="preserve">Relazione Tecnica Comparativa: Architetture HALE e VTOL per Servizi nelle Aree Interne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552hdmjlxa44" w:id="1"/>
      <w:bookmarkEnd w:id="1"/>
      <w:r w:rsidDel="00000000" w:rsidR="00000000" w:rsidRPr="00000000">
        <w:rPr>
          <w:rtl w:val="0"/>
        </w:rPr>
        <w:t xml:space="preserve">1.0 Introduzione e Contesto Strategico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presente relazione fornisce un'analisi tecnica comparativa tra due percorsi architetturali per lo sviluppo di una piattaforma aerea senza pilota: l'architettura pilota a breve termine  </w:t>
      </w:r>
      <w:r w:rsidDel="00000000" w:rsidR="00000000" w:rsidRPr="00000000">
        <w:rPr>
          <w:b w:val="1"/>
          <w:bCs w:val="1"/>
          <w:rtl w:val="0"/>
        </w:rPr>
        <w:t xml:space="preserve">VTOL (Vertical Take-Off and Landing)</w:t>
      </w:r>
      <w:r w:rsidDel="00000000" w:rsidR="00000000" w:rsidRPr="00000000">
        <w:rPr>
          <w:rtl w:val="0"/>
        </w:rPr>
        <w:t xml:space="preserve">  e la visione strategica a lungo termine  </w:t>
      </w:r>
      <w:r w:rsidDel="00000000" w:rsidR="00000000" w:rsidRPr="00000000">
        <w:rPr>
          <w:b w:val="1"/>
          <w:bCs w:val="1"/>
          <w:rtl w:val="0"/>
        </w:rPr>
        <w:t xml:space="preserve">HALE (High Altitude Long Endurance)</w:t>
      </w:r>
      <w:r w:rsidDel="00000000" w:rsidR="00000000" w:rsidRPr="00000000">
        <w:rPr>
          <w:rtl w:val="0"/>
        </w:rPr>
        <w:t xml:space="preserve"> . Lo scopo di questo documento è supportare una decisione informata e basata su evidenze per gli stakeholder del progetto di  </w:t>
      </w:r>
      <w:r w:rsidDel="00000000" w:rsidR="00000000" w:rsidRPr="00000000">
        <w:rPr>
          <w:b w:val="1"/>
          <w:bCs w:val="1"/>
          <w:rtl w:val="0"/>
        </w:rPr>
        <w:t xml:space="preserve">Firmamento Technologies</w:t>
      </w:r>
      <w:r w:rsidDel="00000000" w:rsidR="00000000" w:rsidRPr="00000000">
        <w:rPr>
          <w:rtl w:val="0"/>
        </w:rPr>
        <w:t xml:space="preserve"> , finanziato nell'ambito del bando Cooding Prototypes. La tesi architetturale di fondo è che il pilota VTOL non rappresenta una mera opzione, ma un prerequisito obbligatorio e di riduzione del rischio per la realizzabilità della visione strategica HALE.Il progetto si inserisce nel quadro della  </w:t>
      </w:r>
      <w:r w:rsidDel="00000000" w:rsidR="00000000" w:rsidRPr="00000000">
        <w:rPr>
          <w:b w:val="1"/>
          <w:bCs w:val="1"/>
          <w:rtl w:val="0"/>
        </w:rPr>
        <w:t xml:space="preserve">Strategia Nazionale per le Aree Interne (SNAI)</w:t>
      </w:r>
      <w:r w:rsidDel="00000000" w:rsidR="00000000" w:rsidRPr="00000000">
        <w:rPr>
          <w:rtl w:val="0"/>
        </w:rPr>
        <w:t xml:space="preserve"> , con l'obiettivo primario di valutare la fattibilità di servizi a elevato valore pubblico — quali monitoraggio ambientale, prevenzione dei rischi naturali e connettività digitale — per le comunità delle aree interne liguri. Questo sforzo è condotto in stretta collaborazione con una rete di cooperative partner, che agiscono come "utenti-pilota" per garantire che le soluzioni tecnologiche rispondano a fabbisogni reali e concreti del territorio.Questa relazione è strutturata per guidare il processo decisionale in modo metodico. Inizieremo con un inquadramento dei due percorsi architetturali, seguito da un'analisi dettagliata di ciascuna opzione, evidenziandone specifiche, rischi e condizioni di successo. Successivamente, un confronto diretto metterà in luce i compromessi (trade-off) strategici tra le due soluzioni. Infine, una sintesi decisionale formulerà delle raccomandazioni operative chiare per le fasi successive del programma.L'analisi condotta nel Piano di Fattibilità ha identificato due percorsi distinti e sequenziali, uno orientato alla validazione immediata e l'altro alla visione a lungo termine. È quindi necessario analizzare in dettaglio questi due percorsi per comprendere appieno le loro implicazioni strategiche, tecniche ed economiche.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fp87xkejxepa" w:id="2"/>
      <w:bookmarkEnd w:id="2"/>
      <w:r w:rsidDel="00000000" w:rsidR="00000000" w:rsidRPr="00000000">
        <w:rPr>
          <w:rtl w:val="0"/>
        </w:rPr>
        <w:t xml:space="preserve">2.0 Inquadramento dei Percorsi Architetturali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 governare la complessità e l'incertezza intrinseche in un progetto tecnologicamente ambizioso, è stato adottato un approccio metodologico rigoroso, basato sul  </w:t>
      </w:r>
      <w:r w:rsidDel="00000000" w:rsidR="00000000" w:rsidRPr="00000000">
        <w:rPr>
          <w:b w:val="1"/>
          <w:bCs w:val="1"/>
          <w:rtl w:val="0"/>
        </w:rPr>
        <w:t xml:space="preserve">NASA Systems Engineering Handbook</w:t>
      </w:r>
      <w:r w:rsidDel="00000000" w:rsidR="00000000" w:rsidRPr="00000000">
        <w:rPr>
          <w:rtl w:val="0"/>
        </w:rPr>
        <w:t xml:space="preserve"> . Questo approccio, definito "gate-driven" e "risk-informed", permette di scomporre la roadmap in fasi distinte, ciascuna con chiari criteri di Go/No-Go. In questo modo, le decisioni di investimento sono incrementali e subordinate al raggiungimento di evidenze verificabili, riducendo il rischio complessivo.Il Piano di Fattibilità ha identificato due percorsi architetturali complementari, ma temporalmente e tecnologicamente disgiunti: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Percorso 6A (Pilota VTOL, 0–12 mesi):</w:t>
      </w:r>
      <w:r w:rsidDel="00000000" w:rsidR="00000000" w:rsidRPr="00000000">
        <w:rPr>
          <w:rtl w:val="0"/>
        </w:rPr>
        <w:t xml:space="preserve">  Rappresenta la soluzione a basso rischio tecnologico (TRL 8–9), concepita per una validazione operativa immediata. L'obiettivo è dispiegare una piattaforma commerciale nel sito pilota di Pentema per testare i concetti operativi, interagire con le cooperative e generare dati reali. Questo percorso agisce come un fondamentale abilitatore, fornendo l'esperienza e le evidenze necessarie per informare le decisioni strategiche future con un investimento contenuto.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Percorso 6B (HALE Stratosferico, 24–48 mesi):</w:t>
      </w:r>
      <w:r w:rsidDel="00000000" w:rsidR="00000000" w:rsidRPr="00000000">
        <w:rPr>
          <w:rtl w:val="0"/>
        </w:rPr>
        <w:t xml:space="preserve">  Costituisce l'evoluzione strategica a medio-lungo termine del progetto. La sua attivazione è condizionata al successo della Fase 1 e al reperimento di finanziamenti dedicati. Questo percorso è finalizzato a colmare i gap tecnologici critici (portando il TRL da 4 a 5) e a validare il quadro regolatorio emergente per gli HAPS (High Altitude Platform Systems), posizionando il progetto come un'infrastruttura "pseudo-satellitare" ad alto impatto.Il razionale strategico dietro questa separazione è la  </w:t>
      </w:r>
      <w:r w:rsidDel="00000000" w:rsidR="00000000" w:rsidRPr="00000000">
        <w:rPr>
          <w:b w:val="1"/>
          <w:bCs w:val="1"/>
          <w:rtl w:val="0"/>
        </w:rPr>
        <w:t xml:space="preserve">flessibilità decisionale</w:t>
      </w:r>
      <w:r w:rsidDel="00000000" w:rsidR="00000000" w:rsidRPr="00000000">
        <w:rPr>
          <w:rtl w:val="0"/>
        </w:rPr>
        <w:t xml:space="preserve"> . L'approccio duale permette di generare valore immediato e apprendimento operativo tramite il pilota VTOL, senza impegnare da subito le ingenti risorse richieste dalla R&amp;S del sistema HALE. Se il pilota VTOL dimostrasse di essere sufficiente a soddisfare i bisogni primari delle cooperative, il progetto potrebbe stabilizzarsi su questa soluzione. Al contempo, i dati e gli asset (es. Ground Control Station, framework di data governance) sviluppati nel Percorso 6A sarebbero comunque riutilizzabili, de-rischiando e accelerando una futura transizione verso l'architettura HALE qualora le condizioni strategiche e finanziarie lo consentissero.Di seguito, si procederà con l'analisi dettagliata del percorso operativo a breve termine.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g00ocfel0uwe" w:id="3"/>
      <w:bookmarkEnd w:id="3"/>
      <w:r w:rsidDel="00000000" w:rsidR="00000000" w:rsidRPr="00000000">
        <w:rPr>
          <w:rtl w:val="0"/>
        </w:rPr>
        <w:t xml:space="preserve">3.0 Analisi Architettura Pilota: Percorso 6A (VTOL Ibrido)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L'obiettivo architetturale primario del Percorso 6A non è il mero dispiegamento di un drone, ma l'acquisizione dell'intelligence operativa, regolatoria e di stakeholder non negoziabile, necessaria per validare il business case dell'intero programma con un dispendio iniziale minimo. Questa architettura è la soluzione raccomandata per la Fase 1 (0-12 mesi). Utilizzando una piattaforma commerciale ad alta maturità tecnologica, questo percorso permette di concentrarsi sulla fattibilità operativa e sull'integrazione con gli stakeholder territoriali, piuttosto che sulla ricerca e sviluppo di base.La tabella seguente riassume la valutazione di fattibilità per l'architettura VTOL, basata su un'analisi multidimensionale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3.1 Specifiche Tecniche e Operative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 specifiche chiave dell'architettura VTOL (Percorso 6A) sono state definite per garantire una rapida implementazione e la validazione degli obiettivi pilota.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Velivolo:</w:t>
      </w:r>
      <w:r w:rsidDel="00000000" w:rsidR="00000000" w:rsidRPr="00000000">
        <w:rPr>
          <w:rtl w:val="0"/>
        </w:rPr>
        <w:t xml:space="preserve">  Si prevede l'utilizzo di un modello commerciale come il  </w:t>
      </w:r>
      <w:r w:rsidDel="00000000" w:rsidR="00000000" w:rsidRPr="00000000">
        <w:rPr>
          <w:b w:val="1"/>
          <w:bCs w:val="1"/>
          <w:rtl w:val="0"/>
        </w:rPr>
        <w:t xml:space="preserve">JOUAV CW-30E</w:t>
      </w:r>
      <w:r w:rsidDel="00000000" w:rsidR="00000000" w:rsidRPr="00000000">
        <w:rPr>
          <w:rtl w:val="0"/>
        </w:rPr>
        <w:t xml:space="preserve">  o un suo equivalente. La piattaforma offre un'endurance nominale di  </w:t>
      </w:r>
      <w:r w:rsidDel="00000000" w:rsidR="00000000" w:rsidRPr="00000000">
        <w:rPr>
          <w:b w:val="1"/>
          <w:bCs w:val="1"/>
          <w:rtl w:val="0"/>
        </w:rPr>
        <w:t xml:space="preserve">6-10 ore</w:t>
      </w:r>
      <w:r w:rsidDel="00000000" w:rsidR="00000000" w:rsidRPr="00000000">
        <w:rPr>
          <w:rtl w:val="0"/>
        </w:rPr>
        <w:t xml:space="preserve">  in ciclo operativo, un'altitudine massima di  </w:t>
      </w:r>
      <w:r w:rsidDel="00000000" w:rsidR="00000000" w:rsidRPr="00000000">
        <w:rPr>
          <w:b w:val="1"/>
          <w:bCs w:val="1"/>
          <w:rtl w:val="0"/>
        </w:rPr>
        <w:t xml:space="preserve">5 km</w:t>
      </w:r>
      <w:r w:rsidDel="00000000" w:rsidR="00000000" w:rsidRPr="00000000">
        <w:rPr>
          <w:rtl w:val="0"/>
        </w:rPr>
        <w:t xml:space="preserve">  e un sistema di propulsione ibrido (batterie e turbogeneratore) che garantisce flessibilità e sicurezza.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 La configurazione prevede una architettura a doppio slot per ospitare simultaneamente moduli di  </w:t>
      </w:r>
      <w:r w:rsidDel="00000000" w:rsidR="00000000" w:rsidRPr="00000000">
        <w:rPr>
          <w:b w:val="1"/>
          <w:bCs w:val="1"/>
          <w:rtl w:val="0"/>
        </w:rPr>
        <w:t xml:space="preserve">comunicazione</w:t>
      </w:r>
      <w:r w:rsidDel="00000000" w:rsidR="00000000" w:rsidRPr="00000000">
        <w:rPr>
          <w:rtl w:val="0"/>
        </w:rPr>
        <w:t xml:space="preserve">  (es. relay LTE/5G emulato) e di  </w:t>
      </w:r>
      <w:r w:rsidDel="00000000" w:rsidR="00000000" w:rsidRPr="00000000">
        <w:rPr>
          <w:b w:val="1"/>
          <w:bCs w:val="1"/>
          <w:rtl w:val="0"/>
        </w:rPr>
        <w:t xml:space="preserve">osservazione</w:t>
      </w:r>
      <w:r w:rsidDel="00000000" w:rsidR="00000000" w:rsidRPr="00000000">
        <w:rPr>
          <w:rtl w:val="0"/>
        </w:rPr>
        <w:t xml:space="preserve">  (es. telecamera elettro-ottica). L'interfaccia payload sarà standardizzata per permettere uno scambio rapido dei moduli (&lt;30 min).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Segmento di Terra (GCS):</w:t>
      </w:r>
      <w:r w:rsidDel="00000000" w:rsidR="00000000" w:rsidRPr="00000000">
        <w:rPr>
          <w:rtl w:val="0"/>
        </w:rPr>
        <w:t xml:space="preserve">  La Ground Control Station sarà localizzata a Pentema e richiederà un'infrastruttura minima: un'area dedicata per l'antenna e il landing pad, un'alimentazione elettrica stabile (es. 400V 16A con UPS) e una connessione internet di backhaul con una capacità di almeno  </w:t>
      </w:r>
      <w:r w:rsidDel="00000000" w:rsidR="00000000" w:rsidRPr="00000000">
        <w:rPr>
          <w:b w:val="1"/>
          <w:bCs w:val="1"/>
          <w:rtl w:val="0"/>
        </w:rPr>
        <w:t xml:space="preserve">10 Mbps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Budget Energetico e di Massa:</w:t>
      </w:r>
      <w:r w:rsidDel="00000000" w:rsidR="00000000" w:rsidRPr="00000000">
        <w:rPr>
          <w:rtl w:val="0"/>
        </w:rPr>
        <w:t xml:space="preserve">  L'analisi preliminare conferma che l'endurance di 6-10 ore è fattibile con il sistema ibrido, anche in condizioni invernali (con una prevedibile riduzione delle prestazioni). Il budget di massa è accettabile, ma presenta un potenziale  </w:t>
      </w:r>
      <w:r w:rsidDel="00000000" w:rsidR="00000000" w:rsidRPr="00000000">
        <w:rPr>
          <w:b w:val="1"/>
          <w:bCs w:val="1"/>
          <w:rtl w:val="0"/>
        </w:rPr>
        <w:t xml:space="preserve">rischio regolatorio</w:t>
      </w:r>
      <w:r w:rsidDel="00000000" w:rsidR="00000000" w:rsidRPr="00000000">
        <w:rPr>
          <w:rtl w:val="0"/>
        </w:rPr>
        <w:t xml:space="preserve"> : se il peso massimo al decollo (MTOW) dovesse superare i  </w:t>
      </w:r>
      <w:r w:rsidDel="00000000" w:rsidR="00000000" w:rsidRPr="00000000">
        <w:rPr>
          <w:b w:val="1"/>
          <w:bCs w:val="1"/>
          <w:rtl w:val="0"/>
        </w:rPr>
        <w:t xml:space="preserve">25 kg</w:t>
      </w:r>
      <w:r w:rsidDel="00000000" w:rsidR="00000000" w:rsidRPr="00000000">
        <w:rPr>
          <w:rtl w:val="0"/>
        </w:rPr>
        <w:t xml:space="preserve"> , si renderebbe necessaria una procedura autorizzativa ENAC più complessa (SORA Specific).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 Budget e Copertura:</w:t>
      </w:r>
      <w:r w:rsidDel="00000000" w:rsidR="00000000" w:rsidRPr="00000000">
        <w:rPr>
          <w:rtl w:val="0"/>
        </w:rPr>
        <w:t xml:space="preserve">  L'analisi del collegamento di comunicazione conferma un margine positivo di  </w:t>
      </w:r>
      <w:r w:rsidDel="00000000" w:rsidR="00000000" w:rsidRPr="00000000">
        <w:rPr>
          <w:b w:val="1"/>
          <w:bCs w:val="1"/>
          <w:rtl w:val="0"/>
        </w:rPr>
        <w:t xml:space="preserve">+11 dB</w:t>
      </w:r>
      <w:r w:rsidDel="00000000" w:rsidR="00000000" w:rsidRPr="00000000">
        <w:rPr>
          <w:rtl w:val="0"/>
        </w:rPr>
        <w:t xml:space="preserve"> , indicando una connessione robusta e affidabile anche in condizioni non ottimali, e garantendo un link stabile fino a 50+ km in linea di vista. La latenza end-to-end è stimata inferiore a  </w:t>
      </w:r>
      <w:r w:rsidDel="00000000" w:rsidR="00000000" w:rsidRPr="00000000">
        <w:rPr>
          <w:b w:val="1"/>
          <w:bCs w:val="1"/>
          <w:rtl w:val="0"/>
        </w:rPr>
        <w:t xml:space="preserve">120 ms</w:t>
      </w:r>
      <w:r w:rsidDel="00000000" w:rsidR="00000000" w:rsidRPr="00000000">
        <w:rPr>
          <w:rtl w:val="0"/>
        </w:rPr>
        <w:t xml:space="preserve"> , pienamente compatibile con le operazioni tattiche. La copertura effettiva da una quota di 5 km è di circa  </w:t>
      </w:r>
      <w:r w:rsidDel="00000000" w:rsidR="00000000" w:rsidRPr="00000000">
        <w:rPr>
          <w:b w:val="1"/>
          <w:bCs w:val="1"/>
          <w:rtl w:val="0"/>
        </w:rPr>
        <w:t xml:space="preserve">80 km di diametro</w:t>
      </w:r>
      <w:r w:rsidDel="00000000" w:rsidR="00000000" w:rsidRPr="00000000">
        <w:rPr>
          <w:rtl w:val="0"/>
        </w:rPr>
        <w:t xml:space="preserve"> , anche se si prevedono zone d'ombra del 20-30% a causa della complessa orografia ligure.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odmagsn4odt8" w:id="4"/>
      <w:bookmarkEnd w:id="4"/>
      <w:r w:rsidDel="00000000" w:rsidR="00000000" w:rsidRPr="00000000">
        <w:rPr>
          <w:rtl w:val="0"/>
        </w:rPr>
        <w:t xml:space="preserve">3.2 Roadmap, Rischi e Condizioni di Successo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roadmap operativa per il pilota VTOL è strutturata in quattro fasi sequenziali, con "funding gates" che condizionano l'avanzamento al raggiungimento di evidenze specifiche.| </w:t>
      </w:r>
      <w:r w:rsidDel="00000000" w:rsidR="00000000" w:rsidRPr="00000000">
        <w:rPr>
          <w:b w:val="1"/>
          <w:bCs w:val="1"/>
          <w:rtl w:val="0"/>
        </w:rPr>
        <w:t xml:space="preserve">Fase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Durata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Obiettivo Principale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Costo Stimato (Range)</w:t>
      </w:r>
      <w:r w:rsidDel="00000000" w:rsidR="00000000" w:rsidRPr="00000000">
        <w:rPr>
          <w:rtl w:val="0"/>
        </w:rPr>
        <w:t xml:space="preserve">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F1: Design Preliminare</w:t>
      </w:r>
      <w:r w:rsidDel="00000000" w:rsidR="00000000" w:rsidRPr="00000000">
        <w:rPr>
          <w:rtl w:val="0"/>
        </w:rPr>
        <w:t xml:space="preserve"> | M+0 – M+2 | Definizione CONOPS, selezione piattaforma COTS e avvio procurement. | €50k – €100k || </w:t>
      </w:r>
      <w:r w:rsidDel="00000000" w:rsidR="00000000" w:rsidRPr="00000000">
        <w:rPr>
          <w:b w:val="1"/>
          <w:bCs w:val="1"/>
          <w:rtl w:val="0"/>
        </w:rPr>
        <w:t xml:space="preserve">F2: Integrazione e Test a Terra</w:t>
      </w:r>
      <w:r w:rsidDel="00000000" w:rsidR="00000000" w:rsidRPr="00000000">
        <w:rPr>
          <w:rtl w:val="0"/>
        </w:rPr>
        <w:t xml:space="preserve"> | M+2 – M+8 | Integrazione payload, setup GCS a Pentema, test software e batterie. | €150k – €300k || </w:t>
      </w:r>
      <w:r w:rsidDel="00000000" w:rsidR="00000000" w:rsidRPr="00000000">
        <w:rPr>
          <w:b w:val="1"/>
          <w:bCs w:val="1"/>
          <w:rtl w:val="0"/>
        </w:rPr>
        <w:t xml:space="preserve">F3: Flight Test Controllati</w:t>
      </w:r>
      <w:r w:rsidDel="00000000" w:rsidR="00000000" w:rsidRPr="00000000">
        <w:rPr>
          <w:rtl w:val="0"/>
        </w:rPr>
        <w:t xml:space="preserve"> | M+8 – M+10 | Primo volo, validazione avionica e performance in ambiente reale. | €100k – €150k || </w:t>
      </w:r>
      <w:r w:rsidDel="00000000" w:rsidR="00000000" w:rsidRPr="00000000">
        <w:rPr>
          <w:b w:val="1"/>
          <w:bCs w:val="1"/>
          <w:rtl w:val="0"/>
        </w:rPr>
        <w:t xml:space="preserve">F4: Operazioni Pilota</w:t>
      </w:r>
      <w:r w:rsidDel="00000000" w:rsidR="00000000" w:rsidRPr="00000000">
        <w:rPr>
          <w:rtl w:val="0"/>
        </w:rPr>
        <w:t xml:space="preserve"> | M+10 – M+12 | Esecuzione di missioni ordinarie e di emergenza, training cooperative. | €57k – €118k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Il successo di questo percorso dipende dalla gestione proattiva dei rischi critici. I principali cinque rischi identificati sono: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T-A3-01 (Spettro Radio AGCOM):</w:t>
      </w:r>
      <w:r w:rsidDel="00000000" w:rsidR="00000000" w:rsidRPr="00000000">
        <w:rPr>
          <w:rtl w:val="0"/>
        </w:rPr>
        <w:t xml:space="preserve">  La mancata o ritardata autorizzazione per la banda di comunicazione è un potenziale blocco operativo (impatta direttamente la fattibilità del link descritto in Sez. 3.1).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Mitigazione Tecnica:</w:t>
      </w:r>
      <w:r w:rsidDel="00000000" w:rsidR="00000000" w:rsidRPr="00000000">
        <w:rPr>
          <w:rtl w:val="0"/>
        </w:rPr>
        <w:t xml:space="preserve">  Avviare una consultazione immediata con AGCOM e preparare un piano di fallback tecnico sulla banda ISM a 2.4 GHz.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T-A3-07 (Validazione CONOPS):</w:t>
      </w:r>
      <w:r w:rsidDel="00000000" w:rsidR="00000000" w:rsidRPr="00000000">
        <w:rPr>
          <w:rtl w:val="0"/>
        </w:rPr>
        <w:t xml:space="preserve">  Procedure operative incomplete o non validate con la Protezione Civile possono compromettere la prontezza operativa.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Mitigazione Tecnica:</w:t>
      </w:r>
      <w:r w:rsidDel="00000000" w:rsidR="00000000" w:rsidRPr="00000000">
        <w:rPr>
          <w:rtl w:val="0"/>
        </w:rPr>
        <w:t xml:space="preserve">  Dedicare un ingegnere CONOPS a tempo pieno e organizzare workshop iterativi con gli stakeholder per validare gli scenari.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T-A3-06 (Coinvolgimento Cooperative):</w:t>
      </w:r>
      <w:r w:rsidDel="00000000" w:rsidR="00000000" w:rsidRPr="00000000">
        <w:rPr>
          <w:rtl w:val="0"/>
        </w:rPr>
        <w:t xml:space="preserve">  Un basso livello di partecipazione da parte delle cooperative ridurrebbe la qualità del feedback e il valore del pilota.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Mitigazione Tecnica:</w:t>
      </w:r>
      <w:r w:rsidDel="00000000" w:rsidR="00000000" w:rsidRPr="00000000">
        <w:rPr>
          <w:rtl w:val="0"/>
        </w:rPr>
        <w:t xml:space="preserve">  Formalizzare la collaborazione tramite Memorandum of Understanding (MOU) e strutturare incentivi per la partecipazione.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T-A3-04 (Superamento MTOW &gt;25 kg):</w:t>
      </w:r>
      <w:r w:rsidDel="00000000" w:rsidR="00000000" w:rsidRPr="00000000">
        <w:rPr>
          <w:rtl w:val="0"/>
        </w:rPr>
        <w:t xml:space="preserve">  Il superamento della soglia di peso di 25 kg complicherebbe l'iter regolatorio (direttamente legato al budget di massa e alla configurazione del payload descritti in Sez. 3.1).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Mitigazione Tecnica:</w:t>
      </w:r>
      <w:r w:rsidDel="00000000" w:rsidR="00000000" w:rsidRPr="00000000">
        <w:rPr>
          <w:rtl w:val="0"/>
        </w:rPr>
        <w:t xml:space="preserve">  Progettare una configurazione di payload leggera e condurre un'analisi di impatto SORA se il limite viene superato.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T-A3-02 (Ritardi Autorizzativi ENAC):</w:t>
      </w:r>
      <w:r w:rsidDel="00000000" w:rsidR="00000000" w:rsidRPr="00000000">
        <w:rPr>
          <w:rtl w:val="0"/>
        </w:rPr>
        <w:t xml:space="preserve">  Ritardi nel percorso SORA (Specific Operations Risk Assessment) potrebbero far slittare l'avvio dei test di volo.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Mitigazione Tecnica:</w:t>
      </w:r>
      <w:r w:rsidDel="00000000" w:rsidR="00000000" w:rsidRPr="00000000">
        <w:rPr>
          <w:rtl w:val="0"/>
        </w:rPr>
        <w:t xml:space="preserve">  Avviare una pre-consultazione con ENAC per identificare il percorso autorizzativo più rapido.Infine, l'avvio del percorso è subordinato al soddisfacimento di cinque condizioni critiche di attivazione: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Autorizzazione Spettro AGCOM:</w:t>
      </w:r>
      <w:r w:rsidDel="00000000" w:rsidR="00000000" w:rsidRPr="00000000">
        <w:rPr>
          <w:rtl w:val="0"/>
        </w:rPr>
        <w:t xml:space="preserve">  Ottenere una risposta formale sulla disponibilità della banda L-band o validare il fallback su ISM.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Percorso Regolatorio ENAC Chiaro:</w:t>
      </w:r>
      <w:r w:rsidDel="00000000" w:rsidR="00000000" w:rsidRPr="00000000">
        <w:rPr>
          <w:rtl w:val="0"/>
        </w:rPr>
        <w:t xml:space="preserve">  Ricevere un'indicazione preliminare da ENAC sul percorso SORA applicabile.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Disponibilità Sito GCS:</w:t>
      </w:r>
      <w:r w:rsidDel="00000000" w:rsidR="00000000" w:rsidRPr="00000000">
        <w:rPr>
          <w:rtl w:val="0"/>
        </w:rPr>
        <w:t xml:space="preserve">  Formalizzare l'allocazione del terreno a Pentema con le relative utenze e autorizzazioni.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MOU con le Cooperative:</w:t>
      </w:r>
      <w:r w:rsidDel="00000000" w:rsidR="00000000" w:rsidRPr="00000000">
        <w:rPr>
          <w:rtl w:val="0"/>
        </w:rPr>
        <w:t xml:space="preserve">  Sottoscrivere accordi di collaborazione con almeno l'80% della rete di cooperative partner.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Completezza Integrazione Payload:</w:t>
      </w:r>
      <w:r w:rsidDel="00000000" w:rsidR="00000000" w:rsidRPr="00000000">
        <w:rPr>
          <w:rtl w:val="0"/>
        </w:rPr>
        <w:t xml:space="preserve">  Firmare l'Interface Control Document (ICD) e completare i test di mock-up per validare la compatibilità.Superata l'analisi della soluzione a breve termine, è necessario ora esaminare l'opzione strategica a lungo termine: l'architettura HALE.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fos29am7srbb" w:id="5"/>
      <w:bookmarkEnd w:id="5"/>
      <w:r w:rsidDel="00000000" w:rsidR="00000000" w:rsidRPr="00000000">
        <w:rPr>
          <w:rtl w:val="0"/>
        </w:rPr>
        <w:t xml:space="preserve">4.0 Analisi Architettura Strategica: Percorso 6B (HALE Stratosferico)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L'architettura HALE (Percorso 6B) rappresenta la visione a lungo termine del progetto, una piattaforma stratosferica concepita per colmare il "vuoto di quota" tra le infrastrutture terrestri e quelle satellitari. Operando a circa 20 km di altitudine per settimane o mesi, un velivolo HALE può offrire servizi di connettività e osservazione persistente su scala regionale. Questa sezione valuta la sua fattibilità attuale, concentrandosi sui gap tecnologici e sui rischi sistemici che oggi ne condizionano l'avvio e che ne giustificano la classificazione come opzione strategica e non come soluzione immediata.La tabella seguente offre una sintesi del verdetto tecnico-economico-regolatorio per l'architettura HALE.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tqw6nc8mkj9" w:id="6"/>
      <w:bookmarkEnd w:id="6"/>
      <w:r w:rsidDel="00000000" w:rsidR="00000000" w:rsidRPr="00000000">
        <w:rPr>
          <w:rtl w:val="0"/>
        </w:rPr>
        <w:t xml:space="preserve">4.1 Specifiche Concettuali e Gap Tecnologici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 specifiche concettuali delineano una piattaforma altamente performante ma tecnologicamente sfidante.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Velivolo:</w:t>
      </w:r>
      <w:r w:rsidDel="00000000" w:rsidR="00000000" w:rsidRPr="00000000">
        <w:rPr>
          <w:rtl w:val="0"/>
        </w:rPr>
        <w:t xml:space="preserve">  Si tratta di un'ala fissa ad altissimo allungamento alare (aspect ratio &gt;40), con una struttura ultraleggera in materiali compositi, progettata per operare a quote stratosferiche ( </w:t>
      </w:r>
      <w:r w:rsidDel="00000000" w:rsidR="00000000" w:rsidRPr="00000000">
        <w:rPr>
          <w:b w:val="1"/>
          <w:bCs w:val="1"/>
          <w:rtl w:val="0"/>
        </w:rPr>
        <w:t xml:space="preserve">18–24 km</w:t>
      </w:r>
      <w:r w:rsidDel="00000000" w:rsidR="00000000" w:rsidRPr="00000000">
        <w:rPr>
          <w:rtl w:val="0"/>
        </w:rPr>
        <w:t xml:space="preserve"> ) con un'endurance nominale di  </w:t>
      </w:r>
      <w:r w:rsidDel="00000000" w:rsidR="00000000" w:rsidRPr="00000000">
        <w:rPr>
          <w:b w:val="1"/>
          <w:bCs w:val="1"/>
          <w:rtl w:val="0"/>
        </w:rPr>
        <w:t xml:space="preserve">settimane o mesi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Propulsione:</w:t>
      </w:r>
      <w:r w:rsidDel="00000000" w:rsidR="00000000" w:rsidRPr="00000000">
        <w:rPr>
          <w:rtl w:val="0"/>
        </w:rPr>
        <w:t xml:space="preserve">  Il sistema si basa interamente sull'energia solare. Pannelli fotovoltaici ad alta efficienza coprono le superfici alari per alimentare i motori elettrici durante il giorno e per ricaricare un pacco batterie che garantisce la persistenza operativa durante la notte.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 Le capacità target sono quelle di un'infrastruttura avanzata, come un  </w:t>
      </w:r>
      <w:r w:rsidDel="00000000" w:rsidR="00000000" w:rsidRPr="00000000">
        <w:rPr>
          <w:b w:val="1"/>
          <w:bCs w:val="1"/>
          <w:rtl w:val="0"/>
        </w:rPr>
        <w:t xml:space="preserve">relay HAPS conforme allo standard 3GPP</w:t>
      </w:r>
      <w:r w:rsidDel="00000000" w:rsidR="00000000" w:rsidRPr="00000000">
        <w:rPr>
          <w:rtl w:val="0"/>
        </w:rPr>
        <w:t xml:space="preserve">  per la connettività 4G/5G e sensori per l' </w:t>
      </w:r>
      <w:r w:rsidDel="00000000" w:rsidR="00000000" w:rsidRPr="00000000">
        <w:rPr>
          <w:b w:val="1"/>
          <w:bCs w:val="1"/>
          <w:rtl w:val="0"/>
        </w:rPr>
        <w:t xml:space="preserve">osservazione geospaziale</w:t>
      </w:r>
      <w:r w:rsidDel="00000000" w:rsidR="00000000" w:rsidRPr="00000000">
        <w:rPr>
          <w:rtl w:val="0"/>
        </w:rPr>
        <w:t xml:space="preserve">  persistente.L'analisi di fattibilità ha però messo in luce diversi  </w:t>
      </w:r>
      <w:r w:rsidDel="00000000" w:rsidR="00000000" w:rsidRPr="00000000">
        <w:rPr>
          <w:i w:val="1"/>
          <w:iCs w:val="1"/>
          <w:rtl w:val="0"/>
        </w:rPr>
        <w:t xml:space="preserve">showstopper</w:t>
      </w:r>
      <w:r w:rsidDel="00000000" w:rsidR="00000000" w:rsidRPr="00000000">
        <w:rPr>
          <w:rtl w:val="0"/>
        </w:rPr>
        <w:t xml:space="preserve">  e gap tecnologici che attualmente impediscono l'avvio di un programma di sviluppo su larga scala: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Energia Invernale:</w:t>
      </w:r>
      <w:r w:rsidDel="00000000" w:rsidR="00000000" w:rsidRPr="00000000">
        <w:rPr>
          <w:rtl w:val="0"/>
        </w:rPr>
        <w:t xml:space="preserve">  La sfida principale è la persistenza durante l'inverno a latitudini europee. Il ciclo di accumulo e scarica delle batterie a bassissime temperature (-30°C) e con bassa irradiazione solare non è stato ancora validato in modo affidabile. Un fallimento in questo ambito renderebbe l'operatività possibile solo per una parte dell'anno, minando il business case.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Aeroelasticità (Flutter):</w:t>
      </w:r>
      <w:r w:rsidDel="00000000" w:rsidR="00000000" w:rsidRPr="00000000">
        <w:rPr>
          <w:rtl w:val="0"/>
        </w:rPr>
        <w:t xml:space="preserve">  Le ali ad altissimo allungamento, necessarie per l'efficienza aerodinamica in stratosfera, sono suscettibili a fenomeni aeroelastici come il flutter,  </w:t>
      </w:r>
      <w:r w:rsidDel="00000000" w:rsidR="00000000" w:rsidRPr="00000000">
        <w:rPr>
          <w:b w:val="1"/>
          <w:bCs w:val="1"/>
          <w:rtl w:val="0"/>
        </w:rPr>
        <w:t xml:space="preserve">una vibrazione auto-amplificata che può portare a una rottura catastrofica della struttura in volo</w:t>
      </w:r>
      <w:r w:rsidDel="00000000" w:rsidR="00000000" w:rsidRPr="00000000">
        <w:rPr>
          <w:rtl w:val="0"/>
        </w:rPr>
        <w:t xml:space="preserve"> . Il margine di sicurezza su configurazioni così estreme è ancora oggetto di ricerca.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Avionica e Autonomia:</w:t>
      </w:r>
      <w:r w:rsidDel="00000000" w:rsidR="00000000" w:rsidRPr="00000000">
        <w:rPr>
          <w:rtl w:val="0"/>
        </w:rPr>
        <w:t xml:space="preserve">  Non esistono sul mercato autopiloti commerciali (COTS) certificati per missioni di durata superiore alle 48 ore. Lo sviluppo di un sistema di controllo del volo affidabile per operazioni di settimane o mesi richiede un significativo sforzo di R&amp;S.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Vuoto Normativo:</w:t>
      </w:r>
      <w:r w:rsidDel="00000000" w:rsidR="00000000" w:rsidRPr="00000000">
        <w:rPr>
          <w:rtl w:val="0"/>
        </w:rPr>
        <w:t xml:space="preserve">  Manca un percorso regolatorio consolidato per la certificazione e l'operatività degli HAPS sia a livello europeo (EASA) che nazionale (ENAC). Anche l'allocazione dello spettro radio per i servizi HAPS è ancora oggetto di negoziazioni internazionali, creando un'incertezza critica.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Sostenibilità Economica:</w:t>
      </w:r>
      <w:r w:rsidDel="00000000" w:rsidR="00000000" w:rsidRPr="00000000">
        <w:rPr>
          <w:rtl w:val="0"/>
        </w:rPr>
        <w:t xml:space="preserve">  I costi di sviluppo e costruzione sono di un ordine di grandezza superiore a quelli del pilota VTOL (CAPEX Fase 3 stimato tra  </w:t>
      </w:r>
      <w:r w:rsidDel="00000000" w:rsidR="00000000" w:rsidRPr="00000000">
        <w:rPr>
          <w:b w:val="1"/>
          <w:bCs w:val="1"/>
          <w:rtl w:val="0"/>
        </w:rPr>
        <w:t xml:space="preserve">€35M e €65M</w:t>
      </w:r>
      <w:r w:rsidDel="00000000" w:rsidR="00000000" w:rsidRPr="00000000">
        <w:rPr>
          <w:rtl w:val="0"/>
        </w:rPr>
        <w:t xml:space="preserve"> ). Attualmente, non vi sono finanziamenti assicurati per un impegno di questa portata.In sintesi, i gap tecnologici non sono isolati, ma interconnessi: l'incertezza aeroelastica impatta il peso, che a sua volta aggrava la criticità del bilancio energetico invernale, il tutto in un contesto di totale vuoto normativo. Questo profilo di rischio sistemico, e non un singolo ostacolo, rende attualmente non avviabile lo sviluppo su larga scala.</w:t>
      </w:r>
    </w:p>
    <w:p w:rsidR="00000000" w:rsidDel="00000000" w:rsidP="00000000" w:rsidRDefault="00000000" w:rsidRPr="00000000" w14:paraId="00000030">
      <w:pPr>
        <w:pStyle w:val="Heading5"/>
        <w:rPr/>
      </w:pPr>
      <w:bookmarkStart w:colFirst="0" w:colLast="0" w:name="_3prb9bo97l6l" w:id="7"/>
      <w:bookmarkEnd w:id="7"/>
      <w:r w:rsidDel="00000000" w:rsidR="00000000" w:rsidRPr="00000000">
        <w:rPr>
          <w:rtl w:val="0"/>
        </w:rPr>
        <w:t xml:space="preserve">4.2 Roadmap di R&amp;D e Rischi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Data l'immaturità tecnologica, il Percorso 6B non prevede la costruzione immediata di un velivolo su scala reale. La roadmap proposta per i prossimi 24-48 mesi è una fase di  </w:t>
      </w:r>
      <w:r w:rsidDel="00000000" w:rsidR="00000000" w:rsidRPr="00000000">
        <w:rPr>
          <w:b w:val="1"/>
          <w:bCs w:val="1"/>
          <w:rtl w:val="0"/>
        </w:rPr>
        <w:t xml:space="preserve">Ricerca e Sviluppo</w:t>
      </w:r>
      <w:r w:rsidDel="00000000" w:rsidR="00000000" w:rsidRPr="00000000">
        <w:rPr>
          <w:rtl w:val="0"/>
        </w:rPr>
        <w:t xml:space="preserve">  mirata a ridurre il rischio tecnico-regolatorio. Le attività includerebbero il design preliminare, la prototipazione e il test di sottosistemi critici (es. batterie, sezioni alari) e lo sviluppo di un dimostratore in scala ridotta per validare i modelli aerodinamici e di controllo.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Avendo analizzato separatamente le due architetture, è ora possibile procedere al loro confronto diretto per evidenziare i compromessi strategici.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1j5abuiagmig" w:id="8"/>
      <w:bookmarkEnd w:id="8"/>
      <w:r w:rsidDel="00000000" w:rsidR="00000000" w:rsidRPr="00000000">
        <w:rPr>
          <w:rtl w:val="0"/>
        </w:rPr>
        <w:t xml:space="preserve">5.0 Analisi Comparativa e Compromessi Strategici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Questa sezione distilla le analisi precedenti in un confronto diretto per evidenziare i compromessi (trade-off) fondamentali che gli stakeholder devono considerare. L'obiettivo è mettere in luce come le due architetture rispondano a obiettivi diversi, operando su scale temporali, di rischio e di investimento radicalmente differenti. Non si tratta di determinare quale architettura sia "migliore" in assoluto, ma quale percorso strategico sia più coerente con gli obiettivi e i vincoli attuali del programma.La tabella seguente riassume i parametri chiave di confronto tra il Percorso 6A (VTOL) e il Percorso 6B (HALE).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L'analisi comparativa converge su un compromesso architetturale irriducibile. Il  </w:t>
      </w:r>
      <w:r w:rsidDel="00000000" w:rsidR="00000000" w:rsidRPr="00000000">
        <w:rPr>
          <w:b w:val="1"/>
          <w:bCs w:val="1"/>
          <w:rtl w:val="0"/>
        </w:rPr>
        <w:t xml:space="preserve">percorso VTOL</w:t>
      </w:r>
      <w:r w:rsidDel="00000000" w:rsidR="00000000" w:rsidRPr="00000000">
        <w:rPr>
          <w:rtl w:val="0"/>
        </w:rPr>
        <w:t xml:space="preserve">  rappresenta una strategia di  </w:t>
      </w:r>
      <w:r w:rsidDel="00000000" w:rsidR="00000000" w:rsidRPr="00000000">
        <w:rPr>
          <w:b w:val="1"/>
          <w:bCs w:val="1"/>
          <w:rtl w:val="0"/>
        </w:rPr>
        <w:t xml:space="preserve">"apprendimento rapido" e "valore immediato"</w:t>
      </w:r>
      <w:r w:rsidDel="00000000" w:rsidR="00000000" w:rsidRPr="00000000">
        <w:rPr>
          <w:rtl w:val="0"/>
        </w:rPr>
        <w:t xml:space="preserve"> . Con un investimento contenuto e un basso profilo di rischio, permette di testare il mercato, validare i servizi con le cooperative, stabilire relazioni con gli enti regolatori e generare risultati concreti in meno di un anno. Il suo limite è la scalabilità: la sua natura tattica non può soddisfare l'ambizione di una copertura regionale persistente.Al contrario, il  </w:t>
      </w:r>
      <w:r w:rsidDel="00000000" w:rsidR="00000000" w:rsidRPr="00000000">
        <w:rPr>
          <w:b w:val="1"/>
          <w:bCs w:val="1"/>
          <w:rtl w:val="0"/>
        </w:rPr>
        <w:t xml:space="preserve">percorso HALE</w:t>
      </w:r>
      <w:r w:rsidDel="00000000" w:rsidR="00000000" w:rsidRPr="00000000">
        <w:rPr>
          <w:rtl w:val="0"/>
        </w:rPr>
        <w:t xml:space="preserve">  costituisce un investimento ad alto rischio per una  </w:t>
      </w:r>
      <w:r w:rsidDel="00000000" w:rsidR="00000000" w:rsidRPr="00000000">
        <w:rPr>
          <w:b w:val="1"/>
          <w:bCs w:val="1"/>
          <w:rtl w:val="0"/>
        </w:rPr>
        <w:t xml:space="preserve">"capacità strategica futura"</w:t>
      </w:r>
      <w:r w:rsidDel="00000000" w:rsidR="00000000" w:rsidRPr="00000000">
        <w:rPr>
          <w:rtl w:val="0"/>
        </w:rPr>
        <w:t xml:space="preserve"> . Richiede un impegno finanziario e temporale di un ordine di grandezza superiore, affrontando rischi tecnici e regolatori che potrebbero bloccarne lo sviluppo. Tuttavia, il suo potenziale è trasformativo: se realizzato con successo, creerebbe un'infrastruttura aerea unica, in grado di offrire servizi impossibili da replicare con le attuali piattaforme VTOL.Dal punto di vista architetturale, i percorsi 6A e 6B devono essere considerati sequenziali e non alternativi. Il successo del primo è una condizione abilitante per il secondo. Il pilota VTOL agisce come un passo fondamentale per il percorso HALE: i dati operativi, il feedback delle cooperative, i protocolli con la Protezione Civile e gli asset riutilizzabili (come la Ground Control Station e il framework di data governance) generati dalla Fase 1 sono essenziali per ridurre l'incertezza e informare il design del futuro sistema HALE, rendendo l'investimento iniziale nel VTOL una mossa strategica anche per la visione a lungo termine.Questa analisi comparativa ci porta ora alla sintesi finale e alle raccomandazioni operative.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x1g692gmoirc" w:id="9"/>
      <w:bookmarkEnd w:id="9"/>
      <w:r w:rsidDel="00000000" w:rsidR="00000000" w:rsidRPr="00000000">
        <w:rPr>
          <w:rtl w:val="0"/>
        </w:rPr>
        <w:t xml:space="preserve">6.0 Sintesi Decisionale e Raccomandazioni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Questa sezione finale ha l'obiettivo di tradurre l'analisi comparativa in un verdetto chiaro e in una serie di raccomandazioni operative per gli stakeholder. In linea con l'approccio "evidence-based" e "risk-informed" del progetto, le conclusioni sono formulate per fornire una base solida e tracciabile per le decisioni strategiche da intraprendere.Il verdetto integrato per ciascun percorso architetturale è il seguente: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Percorso 6A (VTOL): GO CONDIZIONATO.</w:t>
      </w:r>
      <w:r w:rsidDel="00000000" w:rsidR="00000000" w:rsidRPr="00000000">
        <w:rPr>
          <w:rtl w:val="0"/>
        </w:rPr>
        <w:t xml:space="preserve">  La fattibilità tecnica e operativa del pilota VTOL è dimostrata. La piattaforma è matura, i rischi sono gestibili e l'investimento è proporzionato ai risultati attesi a breve termine. L'avvio è tuttavia subordinato alla chiusura di specifiche condizioni abilitanti di natura regolatoria, logistica e contrattuale, da finalizzare nei primi mesi del programma.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Percorso 6B (HALE): HOLD / GO-CONDIZIONATO ESTREMO.</w:t>
      </w:r>
      <w:r w:rsidDel="00000000" w:rsidR="00000000" w:rsidRPr="00000000">
        <w:rPr>
          <w:rtl w:val="0"/>
        </w:rPr>
        <w:t xml:space="preserve">  La fattibilità dell'architettura HALE non è attualmente dimostrata. Esistono showstopper tecnici e regolatori critici che richiedono un significativo sforzo di ricerca e sviluppo prima di poter giustificare un impegno finanziario su larga scala. Si raccomanda un approccio di de-risking mirato, posticipando ogni decisione di investimento massiccia.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choowu2bkaoi" w:id="10"/>
      <w:bookmarkEnd w:id="10"/>
      <w:r w:rsidDel="00000000" w:rsidR="00000000" w:rsidRPr="00000000">
        <w:rPr>
          <w:rtl w:val="0"/>
        </w:rPr>
        <w:t xml:space="preserve">Raccomandazione Esecutiva Finale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Sulla base delle evidenze raccolte e del verdetto integrato, si formulano le seguenti raccomandazioni esecutive:</w:t>
      </w:r>
      <w:r w:rsidDel="00000000" w:rsidR="00000000" w:rsidRPr="00000000">
        <w:rPr>
          <w:b w:val="1"/>
          <w:bCs w:val="1"/>
          <w:rtl w:val="0"/>
        </w:rPr>
        <w:t xml:space="preserve">1. Procedere con l'avvio immediato del Percorso 6A (Pilota VTOL), allocando il budget necessario stimato tra €450k e €750k.</w:t>
      </w:r>
      <w:r w:rsidDel="00000000" w:rsidR="00000000" w:rsidRPr="00000000">
        <w:rPr>
          <w:rtl w:val="0"/>
        </w:rPr>
        <w:t xml:space="preserve">  Questa azione permetterà di capitalizzare il lavoro di pianificazione svolto, generare valore immediato per il territorio e raccogliere dati essenziali per le decisioni future. Questo budget si riferisce ai costi diretti di fase, coerentemente con il verdetto finale del Piano di Fattibilità (Fonte: 12C.5). Il costo complessivo del programma pilota, incluse le attività preparatorie, è stimato in un range di €600k-900k (Fonte: 12A.1).</w:t>
      </w:r>
      <w:r w:rsidDel="00000000" w:rsidR="00000000" w:rsidRPr="00000000">
        <w:rPr>
          <w:b w:val="1"/>
          <w:bCs w:val="1"/>
          <w:rtl w:val="0"/>
        </w:rPr>
        <w:t xml:space="preserve">2. Porre il Percorso 6B (HALE) in stato di HOLD, posticipando ogni decisione di investimento significativa.</w:t>
      </w:r>
      <w:r w:rsidDel="00000000" w:rsidR="00000000" w:rsidRPr="00000000">
        <w:rPr>
          <w:rtl w:val="0"/>
        </w:rPr>
        <w:t xml:space="preserve">  L'avanzamento su questo percorso dovrà essere condizionato ai risultati positivi del pilota VTOL e al completamento di specifiche attività di riduzione del rischio (es. test di laboratorio su batterie, finalizzazione di partnership strategiche per l'avionica, chiarimento del percorso regolatorio con EASA).</w:t>
      </w:r>
    </w:p>
    <w:p w:rsidR="00000000" w:rsidDel="00000000" w:rsidP="00000000" w:rsidRDefault="00000000" w:rsidRPr="00000000" w14:paraId="0000003D">
      <w:pPr>
        <w:pStyle w:val="Heading5"/>
        <w:rPr/>
      </w:pPr>
      <w:bookmarkStart w:colFirst="0" w:colLast="0" w:name="_30t4p91z7w00" w:id="11"/>
      <w:bookmarkEnd w:id="11"/>
      <w:r w:rsidDel="00000000" w:rsidR="00000000" w:rsidRPr="00000000">
        <w:rPr>
          <w:rtl w:val="0"/>
        </w:rPr>
        <w:t xml:space="preserve">10 Condizioni Essenziali Go/No-Go per il Percorso 6A (VTOL)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L'avvio operativo del pilota VTOL (Percorso 6A) è propedeutico al soddisfacimento delle seguenti dieci condizioni critiche. Il loro completamento entro le scadenze indicate costituisce il framework Go/No-Go per il progresso del progetto.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