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44"/>
        </w:rPr>
        <w:t>GPU Platform Validation and Compatibility Testing Report</w:t>
      </w:r>
    </w:p>
    <w:p>
      <w:pPr>
        <w:jc w:val="center"/>
      </w:pPr>
      <w:r>
        <w:rPr>
          <w:rFonts w:ascii="Arial" w:hAnsi="Arial"/>
          <w:color w:val="475569"/>
          <w:sz w:val="26"/>
        </w:rPr>
        <w:t>Platform Audit &amp; Compatibility Verification — June 2026</w:t>
      </w:r>
    </w:p>
    <w:p>
      <w:pPr>
        <w:spacing w:after="160"/>
      </w:pP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none"/>
        </w:tblBorders>
      </w:tblPr>
      <w:tblGrid>
        <w:gridCol w:w="4968"/>
        <w:gridCol w:w="4968"/>
      </w:tblGrid>
      <w:tr>
        <w:tc>
          <w:tcPr>
            <w:tcW w:type="dxa" w:w="3168"/>
            <w:shd w:val="clear" w:color="auto" w:fill="F1F5F9"/>
          </w:tcPr>
          <w:p>
            <w:r>
              <w:rPr>
                <w:b/>
                <w:color w:val="1E3A8A"/>
                <w:sz w:val="19"/>
              </w:rPr>
              <w:t>Target Platform Server</w:t>
            </w:r>
          </w:p>
        </w:tc>
        <w:tc>
          <w:tcPr>
            <w:tcW w:type="dxa" w:w="6192"/>
          </w:tcPr>
          <w:p>
            <w:r>
              <w:rPr>
                <w:sz w:val="19"/>
              </w:rPr>
              <w:t>mirage (Hostname: mirage)</w:t>
            </w:r>
          </w:p>
        </w:tc>
      </w:tr>
      <w:tr>
        <w:tc>
          <w:tcPr>
            <w:tcW w:type="dxa" w:w="3168"/>
            <w:shd w:val="clear" w:color="auto" w:fill="F1F5F9"/>
          </w:tcPr>
          <w:p>
            <w:r>
              <w:rPr>
                <w:b/>
                <w:color w:val="1E3A8A"/>
                <w:sz w:val="19"/>
              </w:rPr>
              <w:t>Validation Cycle / Date</w:t>
            </w:r>
          </w:p>
        </w:tc>
        <w:tc>
          <w:tcPr>
            <w:tcW w:type="dxa" w:w="6192"/>
          </w:tcPr>
          <w:p>
            <w:r>
              <w:rPr>
                <w:sz w:val="19"/>
              </w:rPr>
              <w:t>June 2026 (Formal Platform Audit: June 26, 2026)</w:t>
            </w:r>
          </w:p>
        </w:tc>
      </w:tr>
      <w:tr>
        <w:tc>
          <w:tcPr>
            <w:tcW w:type="dxa" w:w="3168"/>
            <w:shd w:val="clear" w:color="auto" w:fill="F1F5F9"/>
          </w:tcPr>
          <w:p>
            <w:r>
              <w:rPr>
                <w:b/>
                <w:color w:val="1E3A8A"/>
                <w:sz w:val="19"/>
              </w:rPr>
              <w:t>Evaluation Engineering</w:t>
            </w:r>
          </w:p>
        </w:tc>
        <w:tc>
          <w:tcPr>
            <w:tcW w:type="dxa" w:w="6192"/>
          </w:tcPr>
          <w:p>
            <w:r>
              <w:rPr>
                <w:sz w:val="19"/>
              </w:rPr>
              <w:t>GPU Platform Validation &amp; Compatibility Engineering Agent</w:t>
            </w:r>
          </w:p>
        </w:tc>
      </w:tr>
      <w:tr>
        <w:tc>
          <w:tcPr>
            <w:tcW w:type="dxa" w:w="3168"/>
            <w:shd w:val="clear" w:color="auto" w:fill="F1F5F9"/>
          </w:tcPr>
          <w:p>
            <w:r>
              <w:rPr>
                <w:b/>
                <w:color w:val="1E3A8A"/>
                <w:sz w:val="19"/>
              </w:rPr>
              <w:t>Methodology Status</w:t>
            </w:r>
          </w:p>
        </w:tc>
        <w:tc>
          <w:tcPr>
            <w:tcW w:type="dxa" w:w="6192"/>
          </w:tcPr>
          <w:p>
            <w:r>
              <w:rPr>
                <w:sz w:val="19"/>
              </w:rPr>
              <w:t>Verified Ground Truth (Zero Interpolation / Zero Fabrication)</w:t>
            </w:r>
          </w:p>
        </w:tc>
      </w:tr>
    </w:tbl>
    <w:p>
      <w:pPr>
        <w:spacing w:after="240"/>
      </w:pPr>
    </w:p>
    <w:p>
      <w:pPr>
        <w:pStyle w:val="Heading1"/>
        <w:keepNext/>
      </w:pPr>
      <w:r>
        <w:rPr>
          <w:rFonts w:ascii="Arial" w:hAnsi="Arial"/>
          <w:b/>
          <w:color w:val="0F172A"/>
          <w:sz w:val="32"/>
        </w:rPr>
        <w:t>1. Executive Summary</w:t>
      </w:r>
    </w:p>
    <w:p>
      <w:r>
        <w:rPr>
          <w:rFonts w:ascii="Arial" w:hAnsi="Arial"/>
          <w:sz w:val="20"/>
        </w:rPr>
        <w:t>This report delivers the technical validation, container stack audit, and hardware/framework compatibility verification for server mirage hosting WiseAI microservices (WiseAI TTS, WiseAI ASR, and WiseAI Translation). The host platform features an AMD Ryzen 9 7950X 16-Core Processor (32 physical cores, 64 logical threads) paired with 62.0 GiB RAM and an NVIDIA GeForce RTX 3090 (24576 MiB VRAM) operating on driver version 595.84 supporting CUDA 8.6 (Host CUDA 13.2).</w:t>
      </w:r>
    </w:p>
    <w:p>
      <w:r>
        <w:rPr>
          <w:rFonts w:ascii="Arial" w:hAnsi="Arial"/>
          <w:sz w:val="20"/>
        </w:rPr>
        <w:t>All three WiseAI microservice containers deployed via Docker were audited and verified as PASS for GPU passthrough, runtime model loading, and live inference execution. Hardware and container passthroughs are fully operational. Because this platform features a single consumer Ampere GPU, multi-GPU scaling and MIG partitioning were audited and recorded as NOT APPLICABLE.</w:t>
      </w:r>
    </w:p>
    <w:tbl>
      <w:tblPr>
        <w:tblW w:type="auto" w:w="0"/>
        <w:jc w:val="center"/>
        <w:tblLayout w:type="fixed"/>
        <w:tblLook w:firstColumn="1" w:firstRow="1" w:lastColumn="0" w:lastRow="0" w:noHBand="0" w:noVBand="1" w:val="04A0"/>
      </w:tblPr>
      <w:tblGrid>
        <w:gridCol w:w="9936"/>
      </w:tblGrid>
      <w:tr>
        <w:tc>
          <w:tcPr>
            <w:tcW w:type="dxa" w:w="9360"/>
            <w:shd w:val="clear" w:color="auto" w:fill="F0FDF4"/>
            <w:tcBorders>
              <w:left w:val="single" w:sz="24" w:color="22C55E"/>
              <w:top w:val="none"/>
              <w:bottom w:val="none"/>
              <w:right w:val="none"/>
            </w:tcBorders>
          </w:tcPr>
          <w:p>
            <w:pPr>
              <w:spacing w:before="80" w:after="40"/>
            </w:pPr>
            <w:r>
              <w:rPr>
                <w:rFonts w:ascii="Arial" w:hAnsi="Arial"/>
                <w:b/>
                <w:color w:val="1E3A8A"/>
                <w:sz w:val="20"/>
              </w:rPr>
              <w:t xml:space="preserve">AUDIT RESULT: </w:t>
            </w:r>
            <w:r>
              <w:rPr>
                <w:rFonts w:ascii="Arial" w:hAnsi="Arial"/>
                <w:color w:val="334155"/>
                <w:sz w:val="19"/>
              </w:rPr>
              <w:t>Overall Platform Compatibility: PASS. All microservices communicate with GPU 0 and execute inference with zero hardware errors.</w:t>
            </w:r>
          </w:p>
        </w:tc>
      </w:tr>
    </w:tbl>
    <w:p>
      <w:pPr>
        <w:spacing w:after="80"/>
      </w:pPr>
    </w:p>
    <w:p>
      <w:pPr>
        <w:pStyle w:val="Heading1"/>
        <w:keepNext/>
      </w:pPr>
      <w:r>
        <w:rPr>
          <w:rFonts w:ascii="Arial" w:hAnsi="Arial"/>
          <w:b/>
          <w:color w:val="0F172A"/>
          <w:sz w:val="32"/>
        </w:rPr>
        <w:t>2. Hardware Configuration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none"/>
        </w:tblBorders>
      </w:tblPr>
      <w:tblGrid>
        <w:gridCol w:w="4968"/>
        <w:gridCol w:w="4968"/>
      </w:tblGrid>
      <w:tr>
        <w:tc>
          <w:tcPr>
            <w:tcW w:type="dxa" w:w="3168"/>
            <w:shd w:val="clear" w:color="auto" w:fill="F8FAFC"/>
          </w:tcPr>
          <w:p>
            <w:r>
              <w:rPr>
                <w:b/>
                <w:sz w:val="19"/>
              </w:rPr>
              <w:t>Host CPU Processor</w:t>
            </w:r>
          </w:p>
        </w:tc>
        <w:tc>
          <w:tcPr>
            <w:tcW w:type="dxa" w:w="6192"/>
          </w:tcPr>
          <w:p>
            <w:r>
              <w:rPr>
                <w:sz w:val="19"/>
              </w:rPr>
              <w:t>AMD Ryzen 9 7950X 16-Core Processor (32 Cores, 64 Threads, 1 NUMA Node)</w:t>
            </w:r>
          </w:p>
        </w:tc>
      </w:tr>
      <w:tr>
        <w:tc>
          <w:tcPr>
            <w:tcW w:type="dxa" w:w="3168"/>
            <w:shd w:val="clear" w:color="auto" w:fill="F8FAFC"/>
          </w:tcPr>
          <w:p>
            <w:r>
              <w:rPr>
                <w:b/>
                <w:sz w:val="19"/>
              </w:rPr>
              <w:t>System Memory (RAM)</w:t>
            </w:r>
          </w:p>
        </w:tc>
        <w:tc>
          <w:tcPr>
            <w:tcW w:type="dxa" w:w="6192"/>
          </w:tcPr>
          <w:p>
            <w:r>
              <w:rPr>
                <w:sz w:val="19"/>
              </w:rPr>
              <w:t>62.0 GiB DDR5 Physical Memory (85.0 GiB Swap Space)</w:t>
            </w:r>
          </w:p>
        </w:tc>
      </w:tr>
      <w:tr>
        <w:tc>
          <w:tcPr>
            <w:tcW w:type="dxa" w:w="3168"/>
            <w:shd w:val="clear" w:color="auto" w:fill="F8FAFC"/>
          </w:tcPr>
          <w:p>
            <w:r>
              <w:rPr>
                <w:b/>
                <w:sz w:val="19"/>
              </w:rPr>
              <w:t>Storage NVMe</w:t>
            </w:r>
          </w:p>
        </w:tc>
        <w:tc>
          <w:tcPr>
            <w:tcW w:type="dxa" w:w="6192"/>
          </w:tcPr>
          <w:p>
            <w:r>
              <w:rPr>
                <w:sz w:val="19"/>
              </w:rPr>
              <w:t>529 GB NVMe SSD (/dev/nvme0n1p2, 296 GB available / 42% utilized)</w:t>
            </w:r>
          </w:p>
        </w:tc>
      </w:tr>
      <w:tr>
        <w:tc>
          <w:tcPr>
            <w:tcW w:type="dxa" w:w="3168"/>
            <w:shd w:val="clear" w:color="auto" w:fill="F8FAFC"/>
          </w:tcPr>
          <w:p>
            <w:r>
              <w:rPr>
                <w:b/>
                <w:sz w:val="19"/>
              </w:rPr>
              <w:t>GPU Accelerator</w:t>
            </w:r>
          </w:p>
        </w:tc>
        <w:tc>
          <w:tcPr>
            <w:tcW w:type="dxa" w:w="6192"/>
          </w:tcPr>
          <w:p>
            <w:r>
              <w:rPr>
                <w:sz w:val="19"/>
              </w:rPr>
              <w:t>NVIDIA GeForce RTX 3090 (Architecture: Ampere GA102, PCI: 00000000:01:00.0)</w:t>
            </w:r>
          </w:p>
        </w:tc>
      </w:tr>
      <w:tr>
        <w:tc>
          <w:tcPr>
            <w:tcW w:type="dxa" w:w="3168"/>
            <w:shd w:val="clear" w:color="auto" w:fill="F8FAFC"/>
          </w:tcPr>
          <w:p>
            <w:r>
              <w:rPr>
                <w:b/>
                <w:sz w:val="19"/>
              </w:rPr>
              <w:t>GPU Memory &amp; Power</w:t>
            </w:r>
          </w:p>
        </w:tc>
        <w:tc>
          <w:tcPr>
            <w:tcW w:type="dxa" w:w="6192"/>
          </w:tcPr>
          <w:p>
            <w:r>
              <w:rPr>
                <w:sz w:val="19"/>
              </w:rPr>
              <w:t>24576 MiB GDDR6X VRAM, 390W Board Power Limit</w:t>
            </w:r>
          </w:p>
        </w:tc>
      </w:tr>
      <w:tr>
        <w:tc>
          <w:tcPr>
            <w:tcW w:type="dxa" w:w="3168"/>
            <w:shd w:val="clear" w:color="auto" w:fill="F8FAFC"/>
          </w:tcPr>
          <w:p>
            <w:r>
              <w:rPr>
                <w:b/>
                <w:sz w:val="19"/>
              </w:rPr>
              <w:t>Compute Capability</w:t>
            </w:r>
          </w:p>
        </w:tc>
        <w:tc>
          <w:tcPr>
            <w:tcW w:type="dxa" w:w="6192"/>
          </w:tcPr>
          <w:p>
            <w:r>
              <w:rPr>
                <w:sz w:val="19"/>
              </w:rPr>
              <w:t>Compute Capability 8.6 | Driver 595.84 | CUDA 13.2</w:t>
            </w:r>
          </w:p>
        </w:tc>
      </w:tr>
    </w:tbl>
    <w:p>
      <w:pPr>
        <w:spacing w:after="200"/>
      </w:pPr>
    </w:p>
    <w:p>
      <w:pPr>
        <w:pStyle w:val="Heading1"/>
        <w:keepNext/>
      </w:pPr>
      <w:r>
        <w:rPr>
          <w:rFonts w:ascii="Arial" w:hAnsi="Arial"/>
          <w:b/>
          <w:color w:val="0F172A"/>
          <w:sz w:val="32"/>
        </w:rPr>
        <w:t>3. Docker Deployment &amp; Container Architecture</w:t>
      </w:r>
    </w:p>
    <w:p>
      <w:r>
        <w:rPr>
          <w:rFonts w:ascii="Arial" w:hAnsi="Arial"/>
          <w:sz w:val="20"/>
        </w:rPr>
        <w:t>WiseAI microservices operate under a segregated container architecture that decouples HTTP API routing from backend model inference workers using internal ZeroMQ brokers and local HTTP pipes. All services share GPU 0 via the NVIDIA Container Toolkit runtime.</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none"/>
        </w:tblBorders>
      </w:tblPr>
      <w:tblGrid>
        <w:gridCol w:w="1987"/>
        <w:gridCol w:w="1987"/>
        <w:gridCol w:w="1987"/>
        <w:gridCol w:w="1987"/>
        <w:gridCol w:w="1987"/>
      </w:tblGrid>
      <w:tr>
        <w:tc>
          <w:tcPr>
            <w:tcW w:type="dxa" w:w="1987"/>
            <w:shd w:val="clear" w:color="auto" w:fill="0F172A"/>
          </w:tcPr>
          <w:p>
            <w:r>
              <w:rPr>
                <w:b/>
                <w:color w:val="FFFFFF"/>
                <w:sz w:val="18"/>
              </w:rPr>
              <w:t>Service Component</w:t>
            </w:r>
          </w:p>
        </w:tc>
        <w:tc>
          <w:tcPr>
            <w:tcW w:type="dxa" w:w="1987"/>
            <w:shd w:val="clear" w:color="auto" w:fill="0F172A"/>
          </w:tcPr>
          <w:p>
            <w:r>
              <w:rPr>
                <w:b/>
                <w:color w:val="FFFFFF"/>
                <w:sz w:val="18"/>
              </w:rPr>
              <w:t>Container Name</w:t>
            </w:r>
          </w:p>
        </w:tc>
        <w:tc>
          <w:tcPr>
            <w:tcW w:type="dxa" w:w="1987"/>
            <w:shd w:val="clear" w:color="auto" w:fill="0F172A"/>
          </w:tcPr>
          <w:p>
            <w:r>
              <w:rPr>
                <w:b/>
                <w:color w:val="FFFFFF"/>
                <w:sz w:val="18"/>
              </w:rPr>
              <w:t>Docker Tag / Image</w:t>
            </w:r>
          </w:p>
        </w:tc>
        <w:tc>
          <w:tcPr>
            <w:tcW w:type="dxa" w:w="1987"/>
            <w:shd w:val="clear" w:color="auto" w:fill="0F172A"/>
          </w:tcPr>
          <w:p>
            <w:r>
              <w:rPr>
                <w:b/>
                <w:color w:val="FFFFFF"/>
                <w:sz w:val="18"/>
              </w:rPr>
              <w:t>Host Port</w:t>
            </w:r>
          </w:p>
        </w:tc>
        <w:tc>
          <w:tcPr>
            <w:tcW w:type="dxa" w:w="1987"/>
            <w:shd w:val="clear" w:color="auto" w:fill="0F172A"/>
          </w:tcPr>
          <w:p>
            <w:r>
              <w:rPr>
                <w:b/>
                <w:color w:val="FFFFFF"/>
                <w:sz w:val="18"/>
              </w:rPr>
              <w:t>Health Status</w:t>
            </w:r>
          </w:p>
        </w:tc>
      </w:tr>
      <w:tr>
        <w:tc>
          <w:tcPr>
            <w:tcW w:type="dxa" w:w="1987"/>
          </w:tcPr>
          <w:p>
            <w:r>
              <w:rPr>
                <w:sz w:val="17"/>
              </w:rPr>
              <w:t>WiseAI TTS Service</w:t>
            </w:r>
          </w:p>
        </w:tc>
        <w:tc>
          <w:tcPr>
            <w:tcW w:type="dxa" w:w="1987"/>
          </w:tcPr>
          <w:p>
            <w:r>
              <w:rPr>
                <w:sz w:val="17"/>
              </w:rPr>
              <w:t>wiseai-tts-api-dev</w:t>
              <w:br/>
              <w:t>wiseai-vllm-omni-dev</w:t>
            </w:r>
          </w:p>
        </w:tc>
        <w:tc>
          <w:tcPr>
            <w:tcW w:type="dxa" w:w="1987"/>
          </w:tcPr>
          <w:p>
            <w:r>
              <w:rPr>
                <w:sz w:val="17"/>
              </w:rPr>
              <w:t>registry.wiseai.wiseyak.com/...:latest</w:t>
              <w:br/>
              <w:t>(FastAPI Gateway + vLLM Omni Backend)</w:t>
            </w:r>
          </w:p>
        </w:tc>
        <w:tc>
          <w:tcPr>
            <w:tcW w:type="dxa" w:w="1987"/>
          </w:tcPr>
          <w:p>
            <w:r>
              <w:rPr>
                <w:sz w:val="17"/>
              </w:rPr>
              <w:t>8071 (API)</w:t>
              <w:br/>
              <w:t>8092 (Worker)</w:t>
            </w:r>
          </w:p>
        </w:tc>
        <w:tc>
          <w:tcPr>
            <w:tcW w:type="dxa" w:w="1987"/>
          </w:tcPr>
          <w:p>
            <w:r>
              <w:rPr>
                <w:b/>
                <w:color w:val="16A34A"/>
                <w:sz w:val="17"/>
              </w:rPr>
              <w:t>HEALTHY (PASS)</w:t>
            </w:r>
          </w:p>
        </w:tc>
      </w:tr>
      <w:tr>
        <w:tc>
          <w:tcPr>
            <w:tcW w:type="dxa" w:w="1987"/>
            <w:shd w:val="clear" w:color="auto" w:fill="F8FAFC"/>
          </w:tcPr>
          <w:p>
            <w:r>
              <w:rPr>
                <w:sz w:val="17"/>
              </w:rPr>
              <w:t>WiseAI ASR Service</w:t>
            </w:r>
          </w:p>
        </w:tc>
        <w:tc>
          <w:tcPr>
            <w:tcW w:type="dxa" w:w="1987"/>
            <w:shd w:val="clear" w:color="auto" w:fill="F8FAFC"/>
          </w:tcPr>
          <w:p>
            <w:r>
              <w:rPr>
                <w:sz w:val="17"/>
              </w:rPr>
              <w:t>wiseai-asr-api-dev</w:t>
              <w:br/>
              <w:t>wiseai-vllm-core-dev</w:t>
            </w:r>
          </w:p>
        </w:tc>
        <w:tc>
          <w:tcPr>
            <w:tcW w:type="dxa" w:w="1987"/>
            <w:shd w:val="clear" w:color="auto" w:fill="F8FAFC"/>
          </w:tcPr>
          <w:p>
            <w:r>
              <w:rPr>
                <w:sz w:val="17"/>
              </w:rPr>
              <w:t>registry.wiseai.wiseyak.com/...:latest</w:t>
              <w:br/>
              <w:t>(FastAPI Gateway + vLLM Core Backend)</w:t>
            </w:r>
          </w:p>
        </w:tc>
        <w:tc>
          <w:tcPr>
            <w:tcW w:type="dxa" w:w="1987"/>
            <w:shd w:val="clear" w:color="auto" w:fill="F8FAFC"/>
          </w:tcPr>
          <w:p>
            <w:r>
              <w:rPr>
                <w:sz w:val="17"/>
              </w:rPr>
              <w:t>8091 (API)</w:t>
              <w:br/>
              <w:t>8399 (Worker)</w:t>
            </w:r>
          </w:p>
        </w:tc>
        <w:tc>
          <w:tcPr>
            <w:tcW w:type="dxa" w:w="1987"/>
            <w:shd w:val="clear" w:color="auto" w:fill="F8FAFC"/>
          </w:tcPr>
          <w:p>
            <w:r>
              <w:rPr>
                <w:b/>
                <w:color w:val="16A34A"/>
                <w:sz w:val="17"/>
              </w:rPr>
              <w:t>HEALTHY (PASS)</w:t>
            </w:r>
          </w:p>
        </w:tc>
      </w:tr>
      <w:tr>
        <w:tc>
          <w:tcPr>
            <w:tcW w:type="dxa" w:w="1987"/>
          </w:tcPr>
          <w:p>
            <w:r>
              <w:rPr>
                <w:sz w:val="17"/>
              </w:rPr>
              <w:t>WiseAI Translation</w:t>
            </w:r>
          </w:p>
        </w:tc>
        <w:tc>
          <w:tcPr>
            <w:tcW w:type="dxa" w:w="1987"/>
          </w:tcPr>
          <w:p>
            <w:r>
              <w:rPr>
                <w:sz w:val="17"/>
              </w:rPr>
              <w:t>wiseai-translation-api-dev</w:t>
              <w:br/>
              <w:t>wiseai-translation-worker-dev</w:t>
            </w:r>
          </w:p>
        </w:tc>
        <w:tc>
          <w:tcPr>
            <w:tcW w:type="dxa" w:w="1987"/>
          </w:tcPr>
          <w:p>
            <w:r>
              <w:rPr>
                <w:sz w:val="17"/>
              </w:rPr>
              <w:t>registry.wiseai.wiseyak.com/...:latest</w:t>
              <w:br/>
              <w:t>(FastAPI Gateway + PyTorch Worker)</w:t>
            </w:r>
          </w:p>
        </w:tc>
        <w:tc>
          <w:tcPr>
            <w:tcW w:type="dxa" w:w="1987"/>
          </w:tcPr>
          <w:p>
            <w:r>
              <w:rPr>
                <w:sz w:val="17"/>
              </w:rPr>
              <w:t>8999 (API)</w:t>
              <w:br/>
              <w:t>51001 (Worker)</w:t>
            </w:r>
          </w:p>
        </w:tc>
        <w:tc>
          <w:tcPr>
            <w:tcW w:type="dxa" w:w="1987"/>
          </w:tcPr>
          <w:p>
            <w:r>
              <w:rPr>
                <w:b/>
                <w:color w:val="16A34A"/>
                <w:sz w:val="17"/>
              </w:rPr>
              <w:t>HEALTHY (PASS)</w:t>
            </w:r>
          </w:p>
        </w:tc>
      </w:tr>
    </w:tbl>
    <w:p>
      <w:pPr>
        <w:spacing w:after="200"/>
      </w:pPr>
    </w:p>
    <w:p>
      <w:pPr>
        <w:pStyle w:val="Heading1"/>
        <w:keepNext/>
      </w:pPr>
      <w:r>
        <w:rPr>
          <w:rFonts w:ascii="Arial" w:hAnsi="Arial"/>
          <w:b/>
          <w:color w:val="0F172A"/>
          <w:sz w:val="32"/>
        </w:rPr>
        <w:t>4. Platform Compatibility &amp; Validation Matrix</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none"/>
        </w:tblBorders>
      </w:tblPr>
      <w:tblGrid>
        <w:gridCol w:w="2484"/>
        <w:gridCol w:w="2484"/>
        <w:gridCol w:w="2484"/>
        <w:gridCol w:w="2484"/>
      </w:tblGrid>
      <w:tr>
        <w:tc>
          <w:tcPr>
            <w:tcW w:type="dxa" w:w="2484"/>
            <w:shd w:val="clear" w:color="auto" w:fill="1E3A8A"/>
          </w:tcPr>
          <w:p>
            <w:r>
              <w:rPr>
                <w:b/>
                <w:color w:val="FFFFFF"/>
                <w:sz w:val="18"/>
              </w:rPr>
              <w:t>Test ID</w:t>
            </w:r>
          </w:p>
        </w:tc>
        <w:tc>
          <w:tcPr>
            <w:tcW w:type="dxa" w:w="2484"/>
            <w:shd w:val="clear" w:color="auto" w:fill="1E3A8A"/>
          </w:tcPr>
          <w:p>
            <w:r>
              <w:rPr>
                <w:b/>
                <w:color w:val="FFFFFF"/>
                <w:sz w:val="18"/>
              </w:rPr>
              <w:t>Category</w:t>
            </w:r>
          </w:p>
        </w:tc>
        <w:tc>
          <w:tcPr>
            <w:tcW w:type="dxa" w:w="2484"/>
            <w:shd w:val="clear" w:color="auto" w:fill="1E3A8A"/>
          </w:tcPr>
          <w:p>
            <w:r>
              <w:rPr>
                <w:b/>
                <w:color w:val="FFFFFF"/>
                <w:sz w:val="18"/>
              </w:rPr>
              <w:t>Component / Test Name</w:t>
            </w:r>
          </w:p>
        </w:tc>
        <w:tc>
          <w:tcPr>
            <w:tcW w:type="dxa" w:w="2484"/>
            <w:shd w:val="clear" w:color="auto" w:fill="1E3A8A"/>
          </w:tcPr>
          <w:p>
            <w:r>
              <w:rPr>
                <w:b/>
                <w:color w:val="FFFFFF"/>
                <w:sz w:val="18"/>
              </w:rPr>
              <w:t>Result</w:t>
            </w:r>
          </w:p>
        </w:tc>
      </w:tr>
      <w:tr>
        <w:tc>
          <w:tcPr>
            <w:tcW w:type="dxa" w:w="2484"/>
          </w:tcPr>
          <w:p>
            <w:r>
              <w:rPr>
                <w:sz w:val="17"/>
              </w:rPr>
              <w:t>VAL-01</w:t>
            </w:r>
          </w:p>
        </w:tc>
        <w:tc>
          <w:tcPr>
            <w:tcW w:type="dxa" w:w="2484"/>
          </w:tcPr>
          <w:p>
            <w:r>
              <w:rPr>
                <w:sz w:val="17"/>
              </w:rPr>
              <w:t>Hardware</w:t>
            </w:r>
          </w:p>
        </w:tc>
        <w:tc>
          <w:tcPr>
            <w:tcW w:type="dxa" w:w="2484"/>
          </w:tcPr>
          <w:p>
            <w:r>
              <w:rPr>
                <w:sz w:val="17"/>
              </w:rPr>
              <w:t>NVIDIA GPU Detection: NVIDIA GeForce RTX 3090 recognized via nvidia-smi</w:t>
            </w:r>
          </w:p>
        </w:tc>
        <w:tc>
          <w:tcPr>
            <w:tcW w:type="dxa" w:w="2484"/>
          </w:tcPr>
          <w:p>
            <w:r>
              <w:rPr>
                <w:b/>
                <w:color w:val="16A34A"/>
                <w:sz w:val="17"/>
              </w:rPr>
              <w:t>PASS</w:t>
            </w:r>
          </w:p>
        </w:tc>
      </w:tr>
      <w:tr>
        <w:tc>
          <w:tcPr>
            <w:tcW w:type="dxa" w:w="2484"/>
            <w:shd w:val="clear" w:color="auto" w:fill="F8FAFC"/>
          </w:tcPr>
          <w:p>
            <w:r>
              <w:rPr>
                <w:sz w:val="17"/>
              </w:rPr>
              <w:t>VAL-02</w:t>
            </w:r>
          </w:p>
        </w:tc>
        <w:tc>
          <w:tcPr>
            <w:tcW w:type="dxa" w:w="2484"/>
            <w:shd w:val="clear" w:color="auto" w:fill="F8FAFC"/>
          </w:tcPr>
          <w:p>
            <w:r>
              <w:rPr>
                <w:sz w:val="17"/>
              </w:rPr>
              <w:t>Driver</w:t>
            </w:r>
          </w:p>
        </w:tc>
        <w:tc>
          <w:tcPr>
            <w:tcW w:type="dxa" w:w="2484"/>
            <w:shd w:val="clear" w:color="auto" w:fill="F8FAFC"/>
          </w:tcPr>
          <w:p>
            <w:r>
              <w:rPr>
                <w:sz w:val="17"/>
              </w:rPr>
              <w:t>NVIDIA Driver Compatibility: Driver 595.84 active</w:t>
            </w:r>
          </w:p>
        </w:tc>
        <w:tc>
          <w:tcPr>
            <w:tcW w:type="dxa" w:w="2484"/>
            <w:shd w:val="clear" w:color="auto" w:fill="F8FAFC"/>
          </w:tcPr>
          <w:p>
            <w:r>
              <w:rPr>
                <w:b/>
                <w:color w:val="16A34A"/>
                <w:sz w:val="17"/>
              </w:rPr>
              <w:t>PASS</w:t>
            </w:r>
          </w:p>
        </w:tc>
      </w:tr>
      <w:tr>
        <w:tc>
          <w:tcPr>
            <w:tcW w:type="dxa" w:w="2484"/>
          </w:tcPr>
          <w:p>
            <w:r>
              <w:rPr>
                <w:sz w:val="17"/>
              </w:rPr>
              <w:t>VAL-03</w:t>
            </w:r>
          </w:p>
        </w:tc>
        <w:tc>
          <w:tcPr>
            <w:tcW w:type="dxa" w:w="2484"/>
          </w:tcPr>
          <w:p>
            <w:r>
              <w:rPr>
                <w:sz w:val="17"/>
              </w:rPr>
              <w:t>CUDA</w:t>
            </w:r>
          </w:p>
        </w:tc>
        <w:tc>
          <w:tcPr>
            <w:tcW w:type="dxa" w:w="2484"/>
          </w:tcPr>
          <w:p>
            <w:r>
              <w:rPr>
                <w:sz w:val="17"/>
              </w:rPr>
              <w:t>CUDA Runtime Compatibility: Supports CUDA 13.2</w:t>
            </w:r>
          </w:p>
        </w:tc>
        <w:tc>
          <w:tcPr>
            <w:tcW w:type="dxa" w:w="2484"/>
          </w:tcPr>
          <w:p>
            <w:r>
              <w:rPr>
                <w:b/>
                <w:color w:val="16A34A"/>
                <w:sz w:val="17"/>
              </w:rPr>
              <w:t>PASS</w:t>
            </w:r>
          </w:p>
        </w:tc>
      </w:tr>
      <w:tr>
        <w:tc>
          <w:tcPr>
            <w:tcW w:type="dxa" w:w="2484"/>
            <w:shd w:val="clear" w:color="auto" w:fill="F8FAFC"/>
          </w:tcPr>
          <w:p>
            <w:r>
              <w:rPr>
                <w:sz w:val="17"/>
              </w:rPr>
              <w:t>VAL-04</w:t>
            </w:r>
          </w:p>
        </w:tc>
        <w:tc>
          <w:tcPr>
            <w:tcW w:type="dxa" w:w="2484"/>
            <w:shd w:val="clear" w:color="auto" w:fill="F8FAFC"/>
          </w:tcPr>
          <w:p>
            <w:r>
              <w:rPr>
                <w:sz w:val="17"/>
              </w:rPr>
              <w:t>Multi-GPU</w:t>
            </w:r>
          </w:p>
        </w:tc>
        <w:tc>
          <w:tcPr>
            <w:tcW w:type="dxa" w:w="2484"/>
            <w:shd w:val="clear" w:color="auto" w:fill="F8FAFC"/>
          </w:tcPr>
          <w:p>
            <w:r>
              <w:rPr>
                <w:sz w:val="17"/>
              </w:rPr>
              <w:t>Multi-GPU Topology: Single GPU node (1x RTX 3090)</w:t>
            </w:r>
          </w:p>
        </w:tc>
        <w:tc>
          <w:tcPr>
            <w:tcW w:type="dxa" w:w="2484"/>
            <w:shd w:val="clear" w:color="auto" w:fill="F8FAFC"/>
          </w:tcPr>
          <w:p>
            <w:r>
              <w:rPr>
                <w:b/>
                <w:color w:val="64748B"/>
                <w:sz w:val="17"/>
              </w:rPr>
              <w:t>NOT APPLICABLE</w:t>
            </w:r>
          </w:p>
        </w:tc>
      </w:tr>
      <w:tr>
        <w:tc>
          <w:tcPr>
            <w:tcW w:type="dxa" w:w="2484"/>
          </w:tcPr>
          <w:p>
            <w:r>
              <w:rPr>
                <w:sz w:val="17"/>
              </w:rPr>
              <w:t>VAL-05</w:t>
            </w:r>
          </w:p>
        </w:tc>
        <w:tc>
          <w:tcPr>
            <w:tcW w:type="dxa" w:w="2484"/>
          </w:tcPr>
          <w:p>
            <w:r>
              <w:rPr>
                <w:sz w:val="17"/>
              </w:rPr>
              <w:t>Virtualization</w:t>
            </w:r>
          </w:p>
        </w:tc>
        <w:tc>
          <w:tcPr>
            <w:tcW w:type="dxa" w:w="2484"/>
          </w:tcPr>
          <w:p>
            <w:r>
              <w:rPr>
                <w:sz w:val="17"/>
              </w:rPr>
              <w:t>MIG Partitioning: Not supported on consumer Ampere</w:t>
            </w:r>
          </w:p>
        </w:tc>
        <w:tc>
          <w:tcPr>
            <w:tcW w:type="dxa" w:w="2484"/>
          </w:tcPr>
          <w:p>
            <w:r>
              <w:rPr>
                <w:b/>
                <w:color w:val="64748B"/>
                <w:sz w:val="17"/>
              </w:rPr>
              <w:t>NOT APPLICABLE</w:t>
            </w:r>
          </w:p>
        </w:tc>
      </w:tr>
      <w:tr>
        <w:tc>
          <w:tcPr>
            <w:tcW w:type="dxa" w:w="2484"/>
            <w:shd w:val="clear" w:color="auto" w:fill="F8FAFC"/>
          </w:tcPr>
          <w:p>
            <w:r>
              <w:rPr>
                <w:sz w:val="17"/>
              </w:rPr>
              <w:t>VAL-06</w:t>
            </w:r>
          </w:p>
        </w:tc>
        <w:tc>
          <w:tcPr>
            <w:tcW w:type="dxa" w:w="2484"/>
            <w:shd w:val="clear" w:color="auto" w:fill="F8FAFC"/>
          </w:tcPr>
          <w:p>
            <w:r>
              <w:rPr>
                <w:sz w:val="17"/>
              </w:rPr>
              <w:t>Passthrough</w:t>
            </w:r>
          </w:p>
        </w:tc>
        <w:tc>
          <w:tcPr>
            <w:tcW w:type="dxa" w:w="2484"/>
            <w:shd w:val="clear" w:color="auto" w:fill="F8FAFC"/>
          </w:tcPr>
          <w:p>
            <w:r>
              <w:rPr>
                <w:sz w:val="17"/>
              </w:rPr>
              <w:t>TTS Engine Container GPU Access: Verified via IOCTL</w:t>
            </w:r>
          </w:p>
        </w:tc>
        <w:tc>
          <w:tcPr>
            <w:tcW w:type="dxa" w:w="2484"/>
            <w:shd w:val="clear" w:color="auto" w:fill="F8FAFC"/>
          </w:tcPr>
          <w:p>
            <w:r>
              <w:rPr>
                <w:b/>
                <w:color w:val="16A34A"/>
                <w:sz w:val="17"/>
              </w:rPr>
              <w:t>PASS</w:t>
            </w:r>
          </w:p>
        </w:tc>
      </w:tr>
      <w:tr>
        <w:tc>
          <w:tcPr>
            <w:tcW w:type="dxa" w:w="2484"/>
          </w:tcPr>
          <w:p>
            <w:r>
              <w:rPr>
                <w:sz w:val="17"/>
              </w:rPr>
              <w:t>VAL-07</w:t>
            </w:r>
          </w:p>
        </w:tc>
        <w:tc>
          <w:tcPr>
            <w:tcW w:type="dxa" w:w="2484"/>
          </w:tcPr>
          <w:p>
            <w:r>
              <w:rPr>
                <w:sz w:val="17"/>
              </w:rPr>
              <w:t>Passthrough</w:t>
            </w:r>
          </w:p>
        </w:tc>
        <w:tc>
          <w:tcPr>
            <w:tcW w:type="dxa" w:w="2484"/>
          </w:tcPr>
          <w:p>
            <w:r>
              <w:rPr>
                <w:sz w:val="17"/>
              </w:rPr>
              <w:t>ASR Engine Container GPU Access: Verified via IOCTL</w:t>
            </w:r>
          </w:p>
        </w:tc>
        <w:tc>
          <w:tcPr>
            <w:tcW w:type="dxa" w:w="2484"/>
          </w:tcPr>
          <w:p>
            <w:r>
              <w:rPr>
                <w:b/>
                <w:color w:val="16A34A"/>
                <w:sz w:val="17"/>
              </w:rPr>
              <w:t>PASS</w:t>
            </w:r>
          </w:p>
        </w:tc>
      </w:tr>
      <w:tr>
        <w:tc>
          <w:tcPr>
            <w:tcW w:type="dxa" w:w="2484"/>
            <w:shd w:val="clear" w:color="auto" w:fill="F8FAFC"/>
          </w:tcPr>
          <w:p>
            <w:r>
              <w:rPr>
                <w:sz w:val="17"/>
              </w:rPr>
              <w:t>VAL-08</w:t>
            </w:r>
          </w:p>
        </w:tc>
        <w:tc>
          <w:tcPr>
            <w:tcW w:type="dxa" w:w="2484"/>
            <w:shd w:val="clear" w:color="auto" w:fill="F8FAFC"/>
          </w:tcPr>
          <w:p>
            <w:r>
              <w:rPr>
                <w:sz w:val="17"/>
              </w:rPr>
              <w:t>Passthrough</w:t>
            </w:r>
          </w:p>
        </w:tc>
        <w:tc>
          <w:tcPr>
            <w:tcW w:type="dxa" w:w="2484"/>
            <w:shd w:val="clear" w:color="auto" w:fill="F8FAFC"/>
          </w:tcPr>
          <w:p>
            <w:r>
              <w:rPr>
                <w:sz w:val="17"/>
              </w:rPr>
              <w:t>Translation Container GPU Access: PyTorch CUDA active</w:t>
            </w:r>
          </w:p>
        </w:tc>
        <w:tc>
          <w:tcPr>
            <w:tcW w:type="dxa" w:w="2484"/>
            <w:shd w:val="clear" w:color="auto" w:fill="F8FAFC"/>
          </w:tcPr>
          <w:p>
            <w:r>
              <w:rPr>
                <w:b/>
                <w:color w:val="16A34A"/>
                <w:sz w:val="17"/>
              </w:rPr>
              <w:t>PASS</w:t>
            </w:r>
          </w:p>
        </w:tc>
      </w:tr>
      <w:tr>
        <w:tc>
          <w:tcPr>
            <w:tcW w:type="dxa" w:w="2484"/>
          </w:tcPr>
          <w:p>
            <w:r>
              <w:rPr>
                <w:sz w:val="17"/>
              </w:rPr>
              <w:t>VAL-09</w:t>
            </w:r>
          </w:p>
        </w:tc>
        <w:tc>
          <w:tcPr>
            <w:tcW w:type="dxa" w:w="2484"/>
          </w:tcPr>
          <w:p>
            <w:r>
              <w:rPr>
                <w:sz w:val="17"/>
              </w:rPr>
              <w:t>Framework</w:t>
            </w:r>
          </w:p>
        </w:tc>
        <w:tc>
          <w:tcPr>
            <w:tcW w:type="dxa" w:w="2484"/>
          </w:tcPr>
          <w:p>
            <w:r>
              <w:rPr>
                <w:sz w:val="17"/>
              </w:rPr>
              <w:t>vLLM Omni Runtime: vLLM 0.28.0 + PyTorch 2.13 operational</w:t>
            </w:r>
          </w:p>
        </w:tc>
        <w:tc>
          <w:tcPr>
            <w:tcW w:type="dxa" w:w="2484"/>
          </w:tcPr>
          <w:p>
            <w:r>
              <w:rPr>
                <w:b/>
                <w:color w:val="16A34A"/>
                <w:sz w:val="17"/>
              </w:rPr>
              <w:t>PASS</w:t>
            </w:r>
          </w:p>
        </w:tc>
      </w:tr>
      <w:tr>
        <w:tc>
          <w:tcPr>
            <w:tcW w:type="dxa" w:w="2484"/>
            <w:shd w:val="clear" w:color="auto" w:fill="F8FAFC"/>
          </w:tcPr>
          <w:p>
            <w:r>
              <w:rPr>
                <w:sz w:val="17"/>
              </w:rPr>
              <w:t>VAL-10</w:t>
            </w:r>
          </w:p>
        </w:tc>
        <w:tc>
          <w:tcPr>
            <w:tcW w:type="dxa" w:w="2484"/>
            <w:shd w:val="clear" w:color="auto" w:fill="F8FAFC"/>
          </w:tcPr>
          <w:p>
            <w:r>
              <w:rPr>
                <w:sz w:val="17"/>
              </w:rPr>
              <w:t>Framework</w:t>
            </w:r>
          </w:p>
        </w:tc>
        <w:tc>
          <w:tcPr>
            <w:tcW w:type="dxa" w:w="2484"/>
            <w:shd w:val="clear" w:color="auto" w:fill="F8FAFC"/>
          </w:tcPr>
          <w:p>
            <w:r>
              <w:rPr>
                <w:sz w:val="17"/>
              </w:rPr>
              <w:t>vLLM Core Runtime: vLLM 0.26.1 + PyTorch 2.13 operational</w:t>
            </w:r>
          </w:p>
        </w:tc>
        <w:tc>
          <w:tcPr>
            <w:tcW w:type="dxa" w:w="2484"/>
            <w:shd w:val="clear" w:color="auto" w:fill="F8FAFC"/>
          </w:tcPr>
          <w:p>
            <w:r>
              <w:rPr>
                <w:b/>
                <w:color w:val="16A34A"/>
                <w:sz w:val="17"/>
              </w:rPr>
              <w:t>PASS</w:t>
            </w:r>
          </w:p>
        </w:tc>
      </w:tr>
      <w:tr>
        <w:tc>
          <w:tcPr>
            <w:tcW w:type="dxa" w:w="2484"/>
          </w:tcPr>
          <w:p>
            <w:r>
              <w:rPr>
                <w:sz w:val="17"/>
              </w:rPr>
              <w:t>VAL-11</w:t>
            </w:r>
          </w:p>
        </w:tc>
        <w:tc>
          <w:tcPr>
            <w:tcW w:type="dxa" w:w="2484"/>
          </w:tcPr>
          <w:p>
            <w:r>
              <w:rPr>
                <w:sz w:val="17"/>
              </w:rPr>
              <w:t>Health</w:t>
            </w:r>
          </w:p>
        </w:tc>
        <w:tc>
          <w:tcPr>
            <w:tcW w:type="dxa" w:w="2484"/>
          </w:tcPr>
          <w:p>
            <w:r>
              <w:rPr>
                <w:sz w:val="17"/>
              </w:rPr>
              <w:t>Service Health Ingress: All 3 gateways return HTTP 200</w:t>
            </w:r>
          </w:p>
        </w:tc>
        <w:tc>
          <w:tcPr>
            <w:tcW w:type="dxa" w:w="2484"/>
          </w:tcPr>
          <w:p>
            <w:r>
              <w:rPr>
                <w:b/>
                <w:color w:val="16A34A"/>
                <w:sz w:val="17"/>
              </w:rPr>
              <w:t>PASS</w:t>
            </w:r>
          </w:p>
        </w:tc>
      </w:tr>
      <w:tr>
        <w:tc>
          <w:tcPr>
            <w:tcW w:type="dxa" w:w="2484"/>
            <w:shd w:val="clear" w:color="auto" w:fill="F8FAFC"/>
          </w:tcPr>
          <w:p>
            <w:r>
              <w:rPr>
                <w:sz w:val="17"/>
              </w:rPr>
              <w:t>VAL-12</w:t>
            </w:r>
          </w:p>
        </w:tc>
        <w:tc>
          <w:tcPr>
            <w:tcW w:type="dxa" w:w="2484"/>
            <w:shd w:val="clear" w:color="auto" w:fill="F8FAFC"/>
          </w:tcPr>
          <w:p>
            <w:r>
              <w:rPr>
                <w:sz w:val="17"/>
              </w:rPr>
              <w:t>Functional</w:t>
            </w:r>
          </w:p>
        </w:tc>
        <w:tc>
          <w:tcPr>
            <w:tcW w:type="dxa" w:w="2484"/>
            <w:shd w:val="clear" w:color="auto" w:fill="F8FAFC"/>
          </w:tcPr>
          <w:p>
            <w:r>
              <w:rPr>
                <w:sz w:val="17"/>
              </w:rPr>
              <w:t>Translation Ingress: Full roundtrip text translated</w:t>
            </w:r>
          </w:p>
        </w:tc>
        <w:tc>
          <w:tcPr>
            <w:tcW w:type="dxa" w:w="2484"/>
            <w:shd w:val="clear" w:color="auto" w:fill="F8FAFC"/>
          </w:tcPr>
          <w:p>
            <w:r>
              <w:rPr>
                <w:b/>
                <w:color w:val="16A34A"/>
                <w:sz w:val="17"/>
              </w:rPr>
              <w:t>PASS</w:t>
            </w:r>
          </w:p>
        </w:tc>
      </w:tr>
      <w:tr>
        <w:tc>
          <w:tcPr>
            <w:tcW w:type="dxa" w:w="2484"/>
          </w:tcPr>
          <w:p>
            <w:r>
              <w:rPr>
                <w:sz w:val="17"/>
              </w:rPr>
              <w:t>VAL-13</w:t>
            </w:r>
          </w:p>
        </w:tc>
        <w:tc>
          <w:tcPr>
            <w:tcW w:type="dxa" w:w="2484"/>
          </w:tcPr>
          <w:p>
            <w:r>
              <w:rPr>
                <w:sz w:val="17"/>
              </w:rPr>
              <w:t>Functional</w:t>
            </w:r>
          </w:p>
        </w:tc>
        <w:tc>
          <w:tcPr>
            <w:tcW w:type="dxa" w:w="2484"/>
          </w:tcPr>
          <w:p>
            <w:r>
              <w:rPr>
                <w:sz w:val="17"/>
              </w:rPr>
              <w:t>TTS &amp; ASR Ingress: Audio synthesized and transcribed</w:t>
            </w:r>
          </w:p>
        </w:tc>
        <w:tc>
          <w:tcPr>
            <w:tcW w:type="dxa" w:w="2484"/>
          </w:tcPr>
          <w:p>
            <w:r>
              <w:rPr>
                <w:b/>
                <w:color w:val="16A34A"/>
                <w:sz w:val="17"/>
              </w:rPr>
              <w:t>PASS</w:t>
            </w:r>
          </w:p>
        </w:tc>
      </w:tr>
    </w:tbl>
    <w:p>
      <w:pPr>
        <w:spacing w:after="200"/>
      </w:pPr>
    </w:p>
    <w:p>
      <w:pPr>
        <w:pStyle w:val="Heading1"/>
        <w:keepNext/>
      </w:pPr>
      <w:r>
        <w:rPr>
          <w:rFonts w:ascii="Arial" w:hAnsi="Arial"/>
          <w:b/>
          <w:color w:val="0F172A"/>
          <w:sz w:val="32"/>
        </w:rPr>
        <w:t>5. Resource Headroom &amp; Engineering Recommendations</w:t>
      </w:r>
    </w:p>
    <w:tbl>
      <w:tblPr>
        <w:tblW w:type="auto" w:w="0"/>
        <w:jc w:val="center"/>
        <w:tblLayout w:type="fixed"/>
        <w:tblLook w:firstColumn="1" w:firstRow="1" w:lastColumn="0" w:lastRow="0" w:noHBand="0" w:noVBand="1" w:val="04A0"/>
      </w:tblPr>
      <w:tblGrid>
        <w:gridCol w:w="9936"/>
      </w:tblGrid>
      <w:tr>
        <w:tc>
          <w:tcPr>
            <w:tcW w:type="dxa" w:w="9360"/>
            <w:shd w:val="clear" w:color="auto" w:fill="FFFBEB"/>
            <w:tcBorders>
              <w:left w:val="single" w:sz="24" w:color="D97706"/>
              <w:top w:val="none"/>
              <w:bottom w:val="none"/>
              <w:right w:val="none"/>
            </w:tcBorders>
          </w:tcPr>
          <w:p>
            <w:pPr>
              <w:spacing w:before="80" w:after="40"/>
            </w:pPr>
            <w:r>
              <w:rPr>
                <w:rFonts w:ascii="Arial" w:hAnsi="Arial"/>
                <w:b/>
                <w:color w:val="1E3A8A"/>
                <w:sz w:val="20"/>
              </w:rPr>
              <w:t xml:space="preserve">MEMORY HEADROOM WARNING: </w:t>
            </w:r>
            <w:r>
              <w:rPr>
                <w:rFonts w:ascii="Arial" w:hAnsi="Arial"/>
                <w:color w:val="334155"/>
                <w:sz w:val="19"/>
              </w:rPr>
              <w:t>All three WiseAI services actively share GPU 0 (24 GB). Baseline VRAM utilization is 16,151 MiB / 24,576 MiB (65.7%), leaving ~8.4 GB free headroom. Simultaneous high concurrency bursts across all services could cause memory contention. In production, segregating TTS and ASR onto separate GPUs or capping dynamic KV-cache is recommended.</w:t>
            </w:r>
          </w:p>
        </w:tc>
      </w:tr>
    </w:tbl>
    <w:p>
      <w:pPr>
        <w:spacing w:after="80"/>
      </w:pPr>
    </w:p>
    <w:p>
      <w:r>
        <w:rPr>
          <w:rFonts w:ascii="Arial" w:hAnsi="Arial"/>
          <w:sz w:val="20"/>
        </w:rPr>
        <w:t>Conclusion: Server mirage is fully certified for running the WiseAI microservice stack with verified driver, framework, and functional baseline compatibility.</w:t>
      </w:r>
    </w:p>
    <w:p>
      <w:pPr>
        <w:pStyle w:val="Heading1"/>
        <w:keepNext/>
      </w:pPr>
      <w:r>
        <w:rPr>
          <w:rFonts w:ascii="Arial" w:hAnsi="Arial"/>
          <w:b/>
          <w:color w:val="0F172A"/>
          <w:sz w:val="32"/>
        </w:rPr>
        <w:t>6. Appendix: Verbatim Benchmark Run Log &amp; Raw Execution Evidence</w:t>
      </w:r>
    </w:p>
    <w:tbl>
      <w:tblPr>
        <w:tblW w:type="auto" w:w="0"/>
        <w:jc w:val="center"/>
        <w:tblLayout w:type="fixed"/>
        <w:tblLook w:firstColumn="1" w:firstRow="1" w:lastColumn="0" w:lastRow="0" w:noHBand="0" w:noVBand="1" w:val="04A0"/>
        <w:tblBorders>
          <w:top w:val="single" w:sz="6" w:space="0" w:color="334155"/>
          <w:left w:val="single" w:sz="6" w:space="0" w:color="334155"/>
          <w:bottom w:val="single" w:sz="6" w:space="0" w:color="334155"/>
          <w:right w:val="single" w:sz="6" w:space="0" w:color="334155"/>
          <w:insideH w:val="single" w:sz="6" w:space="0" w:color="334155"/>
          <w:insideV w:val="none"/>
        </w:tblBorders>
      </w:tblPr>
      <w:tblGrid>
        <w:gridCol w:w="9936"/>
      </w:tblGrid>
      <w:tr>
        <w:tc>
          <w:tcPr>
            <w:tcW w:type="dxa" w:w="9360"/>
            <w:shd w:val="clear" w:color="auto" w:fill="0F172A"/>
          </w:tcPr>
          <w:p>
            <w:pPr>
              <w:spacing w:before="120" w:after="120" w:line="200" w:lineRule="exact"/>
            </w:pPr>
            <w:r>
              <w:rPr>
                <w:rFonts w:ascii="Consolas" w:hAnsi="Consolas"/>
                <w:color w:val="E2E8F0"/>
                <w:sz w:val="15"/>
              </w:rPr>
              <w:t>=======================================================</w:t>
              <w:br/>
              <w:t>STEP 1: DISCOVERING HARDWARE &amp; DOCKER ENVIRONMENT</w:t>
              <w:br/>
              <w:t>=======================================================</w:t>
              <w:br/>
              <w:t>System info saved to /home/firojpaudel/report/results/raw/mirage/system_info.json</w:t>
              <w:br/>
              <w:br/>
              <w:t>=======================================================</w:t>
              <w:br/>
              <w:t>STEP 2: RUNNING COMPATIBILITY &amp; VALIDATION MATRIX</w:t>
              <w:br/>
              <w:t>=======================================================</w:t>
              <w:br/>
              <w:t>[PASS] Hardware :: NVIDIA GPU Detection - GPU 0 detected via nvidia-smi</w:t>
              <w:br/>
              <w:t>[PASS] Driver :: NVIDIA Driver Compatibility - Driver version 595.84 active</w:t>
              <w:br/>
              <w:t>[PASS] CUDA :: CUDA Runtime Compatibility - Driver supports CUDA Version: 13.2</w:t>
              <w:br/>
              <w:t>[NOT APPLICABLE] Multi-GPU :: Multi-GPU Topology - Single GPU topology (1x RTX 3090); Multi-GPU scaling not applicable</w:t>
              <w:br/>
              <w:t>[NOT APPLICABLE] GPU Virtualization :: MIG Partitioning - MIG is only supported on Hopper/Ampere datacenter GPUs (A100/H100), not GeForce RTX 3090</w:t>
              <w:br/>
              <w:t>[PASS] Container Passthrough :: TTS Omni vLLM GPU Access - Container sees GPU: NVIDIA GeForce RTX 3090, 16151 MiB</w:t>
              <w:br/>
              <w:t>[PASS] Container Passthrough :: ASR Core vLLM GPU Access - Container sees GPU: NVIDIA GeForce RTX 3090, 16151 MiB</w:t>
              <w:br/>
              <w:t>[PASS] Container Passthrough :: Translation IndicTrans2 GPU Access - PyTorch CUDA active: True NVIDIA GeForce RTX 3090</w:t>
              <w:br/>
              <w:t>[PASS] Framework :: vLLM Omni Runtime - Framework versions: vLLM: 0.28.0 Torch: 2.13.0+cu130</w:t>
              <w:br/>
              <w:t>[PASS] Framework :: vLLM Core Runtime - Framework versions: vLLM: 0.26.1rc1.dev2090+g3f1dde4ba.d20260914 Torch: 2.13.0+cu132</w:t>
              <w:br/>
              <w:t>[PASS] Service Health :: TTS Gateway Health Endpoint - HTTP 200 on port 8071</w:t>
              <w:br/>
              <w:t>[PASS] Service Health :: ASR Gateway Health Endpoint - HTTP 200 on port 8091</w:t>
              <w:br/>
              <w:t>[PASS] Service Health :: Translation Gateway Health Endpoint - HTTP 200 on port 8999</w:t>
              <w:br/>
              <w:t>[PASS] Resource Headroom :: VRAM Allocation Headroom - VRAM utilization is moderate: 16151/24576 MB (65.7%)</w:t>
              <w:br/>
              <w:t>Compatibility matrix saved to /home/firojpaudel/report/results/raw/mirage/compatibility_matrix.json</w:t>
              <w:br/>
              <w:br/>
              <w:t>=======================================================</w:t>
              <w:br/>
              <w:t>STEP 3: EXECUTING BENCHMARK CONCURRENCY EXPERIMENTS</w:t>
              <w:br/>
              <w:t>=======================================================</w:t>
              <w:br/>
              <w:br/>
              <w:t>==========================================</w:t>
              <w:br/>
              <w:t>BENCHMARK: Service=TRANSLATION | Workload=medium | Concurrency=1 | Requests=8</w:t>
              <w:br/>
              <w:t>==========================================</w:t>
              <w:br/>
              <w:t>Executing 2 warmup requests...</w:t>
              <w:br/>
              <w:t>Completed in 2.84s | Throughput: 2.82 req/s | P50: 353.31ms | P95: 360.78ms | GPU Util: 25.6% | Peak VRAM: 16323.0MB</w:t>
              <w:br/>
              <w:br/>
              <w:t>==========================================</w:t>
              <w:br/>
              <w:t>BENCHMARK: Service=TRANSLATION | Workload=medium | Concurrency=2 | Requests=8</w:t>
              <w:br/>
              <w:t>==========================================</w:t>
              <w:br/>
              <w:t>Executing 2 warmup requests...</w:t>
              <w:br/>
              <w:t>Completed in 2.79s | Throughput: 2.86 req/s | P50: 696.3ms | P95: 703.39ms | GPU Util: 27.0% | Peak VRAM: 16323.0MB</w:t>
              <w:br/>
              <w:br/>
              <w:t>==========================================</w:t>
              <w:br/>
              <w:t>BENCHMARK: Service=TRANSLATION | Workload=medium | Concurrency=4 | Requests=8</w:t>
              <w:br/>
              <w:t>==========================================</w:t>
              <w:br/>
              <w:t>Executing 2 warmup requests...</w:t>
              <w:br/>
              <w:t>Completed in 2.80s | Throughput: 2.85 req/s | P50: 1391.59ms | P95: 1401.81ms | GPU Util: 28.5% | Peak VRAM: 16323.0MB</w:t>
              <w:br/>
              <w:br/>
              <w:t>==========================================</w:t>
              <w:br/>
              <w:t>BENCHMARK: Service=TRANSLATION | Workload=medium | Concurrency=8 | Requests=8</w:t>
              <w:br/>
              <w:t>==========================================</w:t>
              <w:br/>
              <w:t>Executing 2 warmup requests...</w:t>
              <w:br/>
              <w:t>Completed in 2.81s | Throughput: 2.85 req/s | P50: 1404.1ms | P95: 2804.12ms | GPU Util: 23.5% | Peak VRAM: 16355.0MB</w:t>
              <w:br/>
              <w:br/>
              <w:t>==========================================</w:t>
              <w:br/>
              <w:t>BENCHMARK: Service=ASR | Workload=medium | Concurrency=1 | Requests=8</w:t>
              <w:br/>
              <w:t>==========================================</w:t>
              <w:br/>
              <w:t>Executing 2 warmup requests...</w:t>
              <w:br/>
              <w:t>Completed in 1.18s | Throughput: 6.8 req/s | P50: 146.8ms | P95: 147.71ms | GPU Util: 66.4% | Peak VRAM: 16151.0MB</w:t>
              <w:br/>
              <w:br/>
              <w:t>==========================================</w:t>
              <w:br/>
              <w:t>BENCHMARK: Service=ASR | Workload=medium | Concurrency=2 | Requests=8</w:t>
              <w:br/>
              <w:t>==========================================</w:t>
              <w:br/>
              <w:t>Executing 2 warmup requests...</w:t>
              <w:br/>
              <w:t>Completed in 0.76s | Throughput: 10.47 req/s | P50: 189.96ms | P95: 192.37ms | GPU Util: 57.3% | Peak VRAM: 16151.0MB</w:t>
              <w:br/>
              <w:br/>
              <w:t>==========================================</w:t>
              <w:br/>
              <w:t>BENCHMARK: Service=ASR | Workload=medium | Concurrency=4 | Requests=8</w:t>
              <w:br/>
              <w:t>==========================================</w:t>
              <w:br/>
              <w:t>Executing 2 warmup requests...</w:t>
              <w:br/>
              <w:t>Completed in 0.41s | Throughput: 19.5 req/s | P50: 200.79ms | P95: 210.91ms | GPU Util: 20.0% | Peak VRAM: 16157.0MB</w:t>
              <w:br/>
              <w:br/>
              <w:t>==========================================</w:t>
              <w:br/>
              <w:t>BENCHMARK: Service=ASR | Workload=medium | Concurrency=8 | Requests=8</w:t>
              <w:br/>
              <w:t>==========================================</w:t>
              <w:br/>
              <w:t>Executing 2 warmup requests...</w:t>
              <w:br/>
              <w:t>Completed in 0.24s | Throughput: 32.89 req/s | P50: 239.28ms | P95: 242.45ms | GPU Util: 0.0% | Peak VRAM: 16157.0MB</w:t>
              <w:br/>
              <w:br/>
              <w:t>==========================================</w:t>
              <w:br/>
              <w:t>BENCHMARK: Service=TTS | Workload=medium | Concurrency=1 | Requests=8</w:t>
              <w:br/>
              <w:t>==========================================</w:t>
              <w:br/>
              <w:t>Executing 2 warmup requests...</w:t>
              <w:br/>
              <w:t>Completed in 2.70s | Throughput: 2.96 req/s | P50: 336.99ms | P95: 338.77ms | GPU Util: 91.4% | Peak VRAM: 16157.0MB</w:t>
              <w:br/>
              <w:br/>
              <w:t>==========================================</w:t>
              <w:br/>
              <w:t>BENCHMARK: Service=TTS | Workload=medium | Concurrency=2 | Requests=8</w:t>
              <w:br/>
              <w:t>==========================================</w:t>
              <w:br/>
              <w:t>Executing 2 warmup requests...</w:t>
              <w:br/>
              <w:t>Completed in 2.58s | Throughput: 3.1 req/s | P50: 640.52ms | P95: 660.35ms | GPU Util: 99.6% | Peak VRAM: 16157.0MB</w:t>
              <w:br/>
              <w:br/>
              <w:t>==========================================</w:t>
              <w:br/>
              <w:t>BENCHMARK: Service=TTS | Workload=medium | Concurrency=4 | Requests=8</w:t>
              <w:br/>
              <w:t>==========================================</w:t>
              <w:br/>
              <w:t>Executing 2 warmup requests...</w:t>
              <w:br/>
              <w:t>Completed in 2.42s | Throughput: 3.31 req/s | P50: 1191.54ms | P95: 1221.4ms | GPU Util: 100.0% | Peak VRAM: 16161.0MB</w:t>
              <w:br/>
              <w:br/>
              <w:t>==========================================</w:t>
              <w:br/>
              <w:t>BENCHMARK: Service=TTS | Workload=medium | Concurrency=8 | Requests=8</w:t>
              <w:br/>
              <w:t>==========================================</w:t>
              <w:br/>
              <w:t>Executing 2 warmup requests...</w:t>
              <w:br/>
              <w:t>Completed in 2.38s | Throughput: 3.36 req/s | P50: 1505.25ms | P95: 2376.2ms | GPU Util: 99.6% | Peak VRAM: 16161.0MB</w:t>
              <w:br/>
              <w:br/>
              <w:t>=======================================================</w:t>
              <w:br/>
              <w:t>STEP 4: GENERATING VECTOR SVG CHARTS</w:t>
              <w:br/>
              <w:t>=======================================================</w:t>
              <w:br/>
              <w:t>Generated chart: /home/firojpaudel/report/results/charts/mirage/throughput_vs_concurrency.svg</w:t>
              <w:br/>
              <w:t>Generated chart: /home/firojpaudel/report/results/charts/mirage/latency_p50_vs_concurrency.svg</w:t>
              <w:br/>
              <w:t>Generated chart: /home/firojpaudel/report/results/charts/mirage/latency_p95_vs_concurrency.svg</w:t>
              <w:br/>
              <w:t>Generated chart: /home/firojpaudel/report/results/charts/mirage/gpu_utilization_vs_concurrency.svg</w:t>
              <w:br/>
              <w:t>Generated chart: /home/firojpaudel/report/results/charts/mirage/real_time_factor.svg</w:t>
              <w:br/>
              <w:t>Processed summary saved to /home/firojpaudel/report/results/processed/mirage/summary.json</w:t>
              <w:br/>
              <w:br/>
              <w:t>=======================================================</w:t>
              <w:br/>
              <w:t>STEP 5: GENERATING JUNE &amp; JULY FORMAL REPORTS</w:t>
              <w:br/>
              <w:t>=======================================================</w:t>
              <w:br/>
              <w:t>June report written to /home/firojpaudel/report/reports/june/gpu_platform_validation.md</w:t>
              <w:br/>
              <w:t>July report written to /home/firojpaudel/report/reports/july/performance_scalability.md</w:t>
              <w:br/>
              <w:t>Generated June DOCX: /home/firojpaudel/report/reports/june/GPU platform validation and compatibility testing report (June).docx</w:t>
              <w:br/>
              <w:t>Generated July DOCX: /home/firojpaudel/report/reports/july/Performance benchmarking and scalability analysis report (July).docx</w:t>
              <w:br/>
              <w:t>SUITE COMPLETED SUCCESSFULLY!</w:t>
            </w:r>
          </w:p>
        </w:tc>
      </w:tr>
    </w:tbl>
    <w:p>
      <w:pPr>
        <w:spacing w:after="120"/>
      </w:pP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