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B99DE" w14:textId="60EBC691" w:rsidR="00B241D1" w:rsidRPr="00CF2B0A" w:rsidRDefault="00CF2B0A" w:rsidP="00CB4B83">
      <w:pPr>
        <w:rPr>
          <w:b/>
          <w:sz w:val="44"/>
          <w:u w:val="single"/>
        </w:rPr>
      </w:pPr>
      <w:bookmarkStart w:id="0" w:name="_GoBack"/>
      <w:bookmarkEnd w:id="0"/>
      <w:r w:rsidRPr="00CF2B0A">
        <w:rPr>
          <w:b/>
          <w:sz w:val="44"/>
          <w:u w:val="single"/>
        </w:rPr>
        <w:t>TASK 2</w:t>
      </w:r>
    </w:p>
    <w:p w14:paraId="67415DF3" w14:textId="42D8FF6C" w:rsidR="0074046B" w:rsidRPr="00B079F8" w:rsidRDefault="0074046B" w:rsidP="0074046B">
      <w:pPr>
        <w:rPr>
          <w:b/>
        </w:rPr>
      </w:pPr>
      <w:r w:rsidRPr="00B079F8">
        <w:rPr>
          <w:b/>
          <w:sz w:val="28"/>
        </w:rPr>
        <w:t>Mining Association Rules</w:t>
      </w:r>
      <w:r w:rsidRPr="0074046B">
        <w:rPr>
          <w:b/>
        </w:rPr>
        <w:t>: Symptoms, Conditions, and Treatments</w:t>
      </w:r>
    </w:p>
    <w:p w14:paraId="065443AF" w14:textId="583C5D53" w:rsidR="0074046B" w:rsidRPr="00B079F8" w:rsidRDefault="0074046B" w:rsidP="0074046B">
      <w:pPr>
        <w:rPr>
          <w:sz w:val="28"/>
          <w:u w:val="single"/>
        </w:rPr>
      </w:pPr>
      <w:r w:rsidRPr="00B079F8">
        <w:rPr>
          <w:sz w:val="28"/>
          <w:u w:val="single"/>
        </w:rPr>
        <w:t xml:space="preserve"> </w:t>
      </w:r>
      <w:r w:rsidRPr="00B079F8">
        <w:rPr>
          <w:b/>
          <w:sz w:val="28"/>
          <w:u w:val="single"/>
        </w:rPr>
        <w:t>Symptoms Association Rule</w:t>
      </w:r>
    </w:p>
    <w:p w14:paraId="69B53164" w14:textId="2DC4D218" w:rsidR="0074046B" w:rsidRDefault="0074046B" w:rsidP="0074046B">
      <w:r w:rsidRPr="0074046B">
        <w:rPr>
          <w:b/>
        </w:rPr>
        <w:t>Selected Rule:</w:t>
      </w:r>
    </w:p>
    <w:p w14:paraId="6734B898" w14:textId="4604C46C" w:rsidR="0074046B" w:rsidRDefault="0074046B" w:rsidP="0074046B">
      <w:r>
        <w:t xml:space="preserve">- </w:t>
      </w:r>
      <w:r w:rsidRPr="0074046B">
        <w:rPr>
          <w:b/>
        </w:rPr>
        <w:t xml:space="preserve">Antecedent (If): </w:t>
      </w:r>
      <w:r>
        <w:t>Joint Stiffness</w:t>
      </w:r>
    </w:p>
    <w:p w14:paraId="015EB55F" w14:textId="1ED52713" w:rsidR="0074046B" w:rsidRDefault="0074046B" w:rsidP="0074046B">
      <w:r>
        <w:t xml:space="preserve">- </w:t>
      </w:r>
      <w:r w:rsidRPr="0074046B">
        <w:rPr>
          <w:b/>
        </w:rPr>
        <w:t>Consequent (Then):</w:t>
      </w:r>
      <w:r>
        <w:t xml:space="preserve"> Joint Pain</w:t>
      </w:r>
    </w:p>
    <w:p w14:paraId="29609D82" w14:textId="0AFA95D7" w:rsidR="0074046B" w:rsidRDefault="0074046B" w:rsidP="0074046B">
      <w:r w:rsidRPr="0074046B">
        <w:rPr>
          <w:b/>
        </w:rPr>
        <w:t>Metrics:</w:t>
      </w:r>
    </w:p>
    <w:p w14:paraId="7A874D34" w14:textId="0AD16A05" w:rsidR="0074046B" w:rsidRDefault="0074046B" w:rsidP="0074046B">
      <w:r>
        <w:t xml:space="preserve">- </w:t>
      </w:r>
      <w:r w:rsidRPr="0074046B">
        <w:rPr>
          <w:b/>
        </w:rPr>
        <w:t>Support:</w:t>
      </w:r>
      <w:r>
        <w:t xml:space="preserve"> 1.59% (0.015874)</w:t>
      </w:r>
    </w:p>
    <w:p w14:paraId="33A9CC73" w14:textId="77777777" w:rsidR="0074046B" w:rsidRDefault="0074046B" w:rsidP="0074046B">
      <w:r>
        <w:t xml:space="preserve">  - This means 1.59% of all patients have both joint stiffness and joint pain.</w:t>
      </w:r>
    </w:p>
    <w:p w14:paraId="14152016" w14:textId="541B475F" w:rsidR="0074046B" w:rsidRDefault="0074046B" w:rsidP="0074046B">
      <w:r>
        <w:t xml:space="preserve">- </w:t>
      </w:r>
      <w:r w:rsidRPr="0074046B">
        <w:rPr>
          <w:b/>
        </w:rPr>
        <w:t>Confidence</w:t>
      </w:r>
      <w:r>
        <w:t>: 59.52% (0.595197)</w:t>
      </w:r>
    </w:p>
    <w:p w14:paraId="097CAA56" w14:textId="77777777" w:rsidR="0074046B" w:rsidRDefault="0074046B" w:rsidP="0074046B">
      <w:r>
        <w:t xml:space="preserve">  - This means if a patient has joint stiffness, there's a 59.52% chance they also have joint pain.</w:t>
      </w:r>
    </w:p>
    <w:p w14:paraId="0E9F5D84" w14:textId="1089774D" w:rsidR="0074046B" w:rsidRDefault="0074046B" w:rsidP="0074046B">
      <w:r>
        <w:t xml:space="preserve">- </w:t>
      </w:r>
      <w:r w:rsidRPr="0074046B">
        <w:rPr>
          <w:b/>
        </w:rPr>
        <w:t>Lift</w:t>
      </w:r>
      <w:r>
        <w:t>: 2.16</w:t>
      </w:r>
    </w:p>
    <w:p w14:paraId="12D3543E" w14:textId="77777777" w:rsidR="0074046B" w:rsidRDefault="0074046B" w:rsidP="0074046B">
      <w:r>
        <w:t xml:space="preserve">  - This indicates that having joint stiffness makes it 2.16 times more likely that a patient will also have joint pain, compared to the general population.</w:t>
      </w:r>
    </w:p>
    <w:p w14:paraId="50538658" w14:textId="4EF019A5" w:rsidR="0074046B" w:rsidRDefault="0074046B" w:rsidP="0074046B">
      <w:r>
        <w:t xml:space="preserve">- </w:t>
      </w:r>
      <w:proofErr w:type="spellStart"/>
      <w:r w:rsidRPr="0074046B">
        <w:rPr>
          <w:b/>
        </w:rPr>
        <w:t>Kulczynski</w:t>
      </w:r>
      <w:proofErr w:type="spellEnd"/>
      <w:r>
        <w:t xml:space="preserve"> </w:t>
      </w:r>
      <w:r w:rsidRPr="0074046B">
        <w:rPr>
          <w:b/>
        </w:rPr>
        <w:t>Coefficient</w:t>
      </w:r>
      <w:r>
        <w:t>: 0.326</w:t>
      </w:r>
    </w:p>
    <w:p w14:paraId="2F55C42C" w14:textId="77777777" w:rsidR="0074046B" w:rsidRDefault="0074046B" w:rsidP="0074046B">
      <w:r>
        <w:t xml:space="preserve">  - </w:t>
      </w:r>
      <w:proofErr w:type="gramStart"/>
      <w:r>
        <w:t>This measures</w:t>
      </w:r>
      <w:proofErr w:type="gramEnd"/>
      <w:r>
        <w:t xml:space="preserve"> the balance between how often joint stiffness and joint pain occur together and separately.</w:t>
      </w:r>
    </w:p>
    <w:p w14:paraId="08539C89" w14:textId="497F330C" w:rsidR="0074046B" w:rsidRDefault="0074046B" w:rsidP="0074046B">
      <w:r>
        <w:t xml:space="preserve">- </w:t>
      </w:r>
      <w:r w:rsidRPr="0074046B">
        <w:rPr>
          <w:b/>
        </w:rPr>
        <w:t>Imbalance</w:t>
      </w:r>
      <w:r>
        <w:t xml:space="preserve"> </w:t>
      </w:r>
      <w:r w:rsidRPr="0074046B">
        <w:rPr>
          <w:b/>
        </w:rPr>
        <w:t>Ratio</w:t>
      </w:r>
      <w:r>
        <w:t>: 0.869</w:t>
      </w:r>
    </w:p>
    <w:p w14:paraId="0E403C1A" w14:textId="7248C948" w:rsidR="0074046B" w:rsidRDefault="0074046B" w:rsidP="0074046B">
      <w:r>
        <w:t xml:space="preserve">  - This shows the disparity between the occurrences of joint stiffness and joint pain. A value closer to 0 means a better balance.</w:t>
      </w:r>
    </w:p>
    <w:p w14:paraId="514E7794" w14:textId="49058EAF" w:rsidR="0074046B" w:rsidRDefault="0074046B" w:rsidP="0074046B">
      <w:r w:rsidRPr="0074046B">
        <w:rPr>
          <w:b/>
        </w:rPr>
        <w:t>Contingency</w:t>
      </w:r>
      <w:r>
        <w:t xml:space="preserve"> </w:t>
      </w:r>
      <w:r w:rsidRPr="0074046B">
        <w:rPr>
          <w:b/>
        </w:rPr>
        <w:t>Table</w:t>
      </w:r>
      <w:r>
        <w:t>:</w:t>
      </w:r>
    </w:p>
    <w:tbl>
      <w:tblPr>
        <w:tblStyle w:val="TableGrid"/>
        <w:tblW w:w="0" w:type="auto"/>
        <w:tblLook w:val="04A0" w:firstRow="1" w:lastRow="0" w:firstColumn="1" w:lastColumn="0" w:noHBand="0" w:noVBand="1"/>
      </w:tblPr>
      <w:tblGrid>
        <w:gridCol w:w="2337"/>
        <w:gridCol w:w="2337"/>
        <w:gridCol w:w="2338"/>
        <w:gridCol w:w="2338"/>
      </w:tblGrid>
      <w:tr w:rsidR="0074046B" w14:paraId="725CDD9C" w14:textId="77777777" w:rsidTr="007B7B32">
        <w:tc>
          <w:tcPr>
            <w:tcW w:w="2337" w:type="dxa"/>
            <w:shd w:val="clear" w:color="auto" w:fill="BFBFBF" w:themeFill="background1" w:themeFillShade="BF"/>
          </w:tcPr>
          <w:p w14:paraId="32509993" w14:textId="77777777" w:rsidR="0074046B" w:rsidRDefault="0074046B" w:rsidP="0074046B"/>
        </w:tc>
        <w:tc>
          <w:tcPr>
            <w:tcW w:w="2337" w:type="dxa"/>
            <w:shd w:val="clear" w:color="auto" w:fill="BFBFBF" w:themeFill="background1" w:themeFillShade="BF"/>
          </w:tcPr>
          <w:p w14:paraId="329B849D" w14:textId="77777777" w:rsidR="0074046B" w:rsidRDefault="0074046B" w:rsidP="0074046B">
            <w:pPr>
              <w:rPr>
                <w:rFonts w:ascii="Segoe UI" w:hAnsi="Segoe UI" w:cs="Segoe UI"/>
                <w:b/>
                <w:bCs/>
                <w:color w:val="0D0D0D"/>
                <w:sz w:val="21"/>
                <w:szCs w:val="21"/>
              </w:rPr>
            </w:pPr>
            <w:r>
              <w:rPr>
                <w:rFonts w:ascii="Segoe UI" w:hAnsi="Segoe UI" w:cs="Segoe UI"/>
                <w:b/>
                <w:bCs/>
                <w:color w:val="0D0D0D"/>
                <w:sz w:val="21"/>
                <w:szCs w:val="21"/>
              </w:rPr>
              <w:t>Joint Pain Present</w:t>
            </w:r>
          </w:p>
          <w:p w14:paraId="59206B73" w14:textId="77777777" w:rsidR="0074046B" w:rsidRDefault="0074046B" w:rsidP="0074046B"/>
        </w:tc>
        <w:tc>
          <w:tcPr>
            <w:tcW w:w="2338" w:type="dxa"/>
            <w:shd w:val="clear" w:color="auto" w:fill="BFBFBF" w:themeFill="background1" w:themeFillShade="BF"/>
          </w:tcPr>
          <w:p w14:paraId="23F522FE" w14:textId="77777777" w:rsidR="0074046B" w:rsidRDefault="0074046B" w:rsidP="0074046B">
            <w:pPr>
              <w:rPr>
                <w:rFonts w:ascii="Segoe UI" w:hAnsi="Segoe UI" w:cs="Segoe UI"/>
                <w:b/>
                <w:bCs/>
                <w:color w:val="0D0D0D"/>
                <w:sz w:val="21"/>
                <w:szCs w:val="21"/>
              </w:rPr>
            </w:pPr>
            <w:r>
              <w:rPr>
                <w:rFonts w:ascii="Segoe UI" w:hAnsi="Segoe UI" w:cs="Segoe UI"/>
                <w:b/>
                <w:bCs/>
                <w:color w:val="0D0D0D"/>
                <w:sz w:val="21"/>
                <w:szCs w:val="21"/>
              </w:rPr>
              <w:t>Joint Pain Absent</w:t>
            </w:r>
          </w:p>
          <w:p w14:paraId="4BC70CD1" w14:textId="77777777" w:rsidR="0074046B" w:rsidRDefault="0074046B" w:rsidP="0074046B"/>
        </w:tc>
        <w:tc>
          <w:tcPr>
            <w:tcW w:w="2338" w:type="dxa"/>
            <w:shd w:val="clear" w:color="auto" w:fill="BFBFBF" w:themeFill="background1" w:themeFillShade="BF"/>
          </w:tcPr>
          <w:p w14:paraId="0E4C3894" w14:textId="376294E9" w:rsidR="0074046B" w:rsidRDefault="0074046B" w:rsidP="0074046B">
            <w:pPr>
              <w:rPr>
                <w:rFonts w:ascii="Segoe UI" w:hAnsi="Segoe UI" w:cs="Segoe UI"/>
                <w:b/>
                <w:bCs/>
                <w:color w:val="0D0D0D"/>
                <w:sz w:val="21"/>
                <w:szCs w:val="21"/>
              </w:rPr>
            </w:pPr>
            <w:r>
              <w:rPr>
                <w:rFonts w:ascii="Segoe UI" w:hAnsi="Segoe UI" w:cs="Segoe UI"/>
                <w:b/>
                <w:bCs/>
                <w:color w:val="0D0D0D"/>
                <w:sz w:val="21"/>
                <w:szCs w:val="21"/>
              </w:rPr>
              <w:t>Total</w:t>
            </w:r>
            <w:r>
              <w:rPr>
                <w:rFonts w:ascii="Segoe UI" w:hAnsi="Segoe UI" w:cs="Segoe UI"/>
                <w:b/>
                <w:bCs/>
                <w:color w:val="0D0D0D"/>
                <w:sz w:val="21"/>
                <w:szCs w:val="21"/>
              </w:rPr>
              <w:t xml:space="preserve"> </w:t>
            </w:r>
          </w:p>
          <w:p w14:paraId="2E43994D" w14:textId="5A67038D" w:rsidR="0074046B" w:rsidRPr="0074046B" w:rsidRDefault="0074046B" w:rsidP="0074046B">
            <w:pPr>
              <w:rPr>
                <w:b/>
              </w:rPr>
            </w:pPr>
          </w:p>
        </w:tc>
      </w:tr>
      <w:tr w:rsidR="0074046B" w14:paraId="3A18E8A0" w14:textId="77777777" w:rsidTr="0074046B">
        <w:tc>
          <w:tcPr>
            <w:tcW w:w="2337" w:type="dxa"/>
          </w:tcPr>
          <w:p w14:paraId="6FAEA42D" w14:textId="4B4E919E" w:rsidR="0074046B" w:rsidRDefault="007308C6" w:rsidP="0074046B">
            <w:r>
              <w:rPr>
                <w:rFonts w:ascii="Segoe UI" w:hAnsi="Segoe UI" w:cs="Segoe UI"/>
                <w:color w:val="0D0D0D"/>
                <w:sz w:val="21"/>
                <w:szCs w:val="21"/>
                <w:shd w:val="clear" w:color="auto" w:fill="FFFFFF"/>
              </w:rPr>
              <w:t>Joint Stiffness Present</w:t>
            </w:r>
          </w:p>
        </w:tc>
        <w:tc>
          <w:tcPr>
            <w:tcW w:w="2337" w:type="dxa"/>
          </w:tcPr>
          <w:p w14:paraId="77319E90"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7676.32</w:t>
            </w:r>
          </w:p>
          <w:p w14:paraId="19DD51F4" w14:textId="77777777" w:rsidR="0074046B" w:rsidRDefault="0074046B" w:rsidP="0074046B"/>
        </w:tc>
        <w:tc>
          <w:tcPr>
            <w:tcW w:w="2338" w:type="dxa"/>
          </w:tcPr>
          <w:p w14:paraId="3F847F9D"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5249.57</w:t>
            </w:r>
          </w:p>
          <w:p w14:paraId="5A9DBE01" w14:textId="77777777" w:rsidR="0074046B" w:rsidRDefault="0074046B" w:rsidP="0074046B"/>
        </w:tc>
        <w:tc>
          <w:tcPr>
            <w:tcW w:w="2338" w:type="dxa"/>
          </w:tcPr>
          <w:p w14:paraId="708F0753" w14:textId="50E729D7" w:rsidR="0074046B" w:rsidRDefault="007308C6" w:rsidP="007308C6">
            <w:pPr>
              <w:ind w:firstLine="720"/>
            </w:pPr>
            <w:r>
              <w:t>12925.89</w:t>
            </w:r>
          </w:p>
        </w:tc>
      </w:tr>
      <w:tr w:rsidR="0074046B" w14:paraId="44B0FD02" w14:textId="77777777" w:rsidTr="0074046B">
        <w:tc>
          <w:tcPr>
            <w:tcW w:w="2337" w:type="dxa"/>
          </w:tcPr>
          <w:p w14:paraId="052F8FD9"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Joint Stiffness Absent</w:t>
            </w:r>
          </w:p>
          <w:p w14:paraId="68A10422" w14:textId="77777777" w:rsidR="0074046B" w:rsidRDefault="0074046B" w:rsidP="0074046B"/>
        </w:tc>
        <w:tc>
          <w:tcPr>
            <w:tcW w:w="2337" w:type="dxa"/>
          </w:tcPr>
          <w:p w14:paraId="58859038"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256659.66</w:t>
            </w:r>
          </w:p>
          <w:p w14:paraId="04288D88" w14:textId="77777777" w:rsidR="0074046B" w:rsidRDefault="0074046B" w:rsidP="0074046B"/>
        </w:tc>
        <w:tc>
          <w:tcPr>
            <w:tcW w:w="2338" w:type="dxa"/>
          </w:tcPr>
          <w:p w14:paraId="5F36D5BD"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2315911.22</w:t>
            </w:r>
          </w:p>
          <w:p w14:paraId="22CA5394" w14:textId="77777777" w:rsidR="0074046B" w:rsidRDefault="0074046B" w:rsidP="0074046B"/>
        </w:tc>
        <w:tc>
          <w:tcPr>
            <w:tcW w:w="2338" w:type="dxa"/>
          </w:tcPr>
          <w:p w14:paraId="46F51EF2" w14:textId="4FFEB3B9" w:rsidR="0074046B" w:rsidRDefault="007308C6" w:rsidP="0074046B">
            <w:r>
              <w:t>2572570.88</w:t>
            </w:r>
          </w:p>
        </w:tc>
      </w:tr>
      <w:tr w:rsidR="0074046B" w14:paraId="0E38A52E" w14:textId="77777777" w:rsidTr="0074046B">
        <w:tc>
          <w:tcPr>
            <w:tcW w:w="2337" w:type="dxa"/>
          </w:tcPr>
          <w:p w14:paraId="501E618C"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Total</w:t>
            </w:r>
          </w:p>
          <w:p w14:paraId="54E7206C" w14:textId="77777777" w:rsidR="0074046B" w:rsidRDefault="0074046B" w:rsidP="0074046B"/>
        </w:tc>
        <w:tc>
          <w:tcPr>
            <w:tcW w:w="2337" w:type="dxa"/>
          </w:tcPr>
          <w:p w14:paraId="6957CC03"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264335.98</w:t>
            </w:r>
          </w:p>
          <w:p w14:paraId="41D3C240" w14:textId="77777777" w:rsidR="0074046B" w:rsidRDefault="0074046B" w:rsidP="0074046B"/>
        </w:tc>
        <w:tc>
          <w:tcPr>
            <w:tcW w:w="2338" w:type="dxa"/>
          </w:tcPr>
          <w:p w14:paraId="2393257A" w14:textId="77777777" w:rsidR="007308C6" w:rsidRDefault="007308C6" w:rsidP="007308C6">
            <w:pPr>
              <w:rPr>
                <w:rFonts w:ascii="Segoe UI" w:hAnsi="Segoe UI" w:cs="Segoe UI"/>
                <w:color w:val="0D0D0D"/>
                <w:sz w:val="21"/>
                <w:szCs w:val="21"/>
              </w:rPr>
            </w:pPr>
            <w:r>
              <w:rPr>
                <w:rFonts w:ascii="Segoe UI" w:hAnsi="Segoe UI" w:cs="Segoe UI"/>
                <w:color w:val="0D0D0D"/>
                <w:sz w:val="21"/>
                <w:szCs w:val="21"/>
              </w:rPr>
              <w:t>2321160.79</w:t>
            </w:r>
          </w:p>
          <w:p w14:paraId="73CFE41E" w14:textId="77777777" w:rsidR="0074046B" w:rsidRDefault="0074046B" w:rsidP="0074046B"/>
        </w:tc>
        <w:tc>
          <w:tcPr>
            <w:tcW w:w="2338" w:type="dxa"/>
          </w:tcPr>
          <w:p w14:paraId="096F4F0F" w14:textId="5B505E53" w:rsidR="0074046B" w:rsidRDefault="007308C6" w:rsidP="0074046B">
            <w:r>
              <w:t>2585496.77</w:t>
            </w:r>
          </w:p>
        </w:tc>
      </w:tr>
    </w:tbl>
    <w:p w14:paraId="044589C2" w14:textId="77777777" w:rsidR="0074046B" w:rsidRDefault="0074046B" w:rsidP="0074046B"/>
    <w:p w14:paraId="7AC27A9D" w14:textId="010C2B27" w:rsidR="0074046B" w:rsidRDefault="0074046B" w:rsidP="0074046B">
      <w:r w:rsidRPr="0074046B">
        <w:rPr>
          <w:b/>
        </w:rPr>
        <w:t>Explanation</w:t>
      </w:r>
      <w:r>
        <w:t>:</w:t>
      </w:r>
    </w:p>
    <w:p w14:paraId="11E6E082" w14:textId="77BDDEFD" w:rsidR="0074046B" w:rsidRDefault="0074046B" w:rsidP="0074046B">
      <w:r>
        <w:t xml:space="preserve">- </w:t>
      </w:r>
      <w:r w:rsidRPr="007308C6">
        <w:rPr>
          <w:b/>
        </w:rPr>
        <w:t>Support</w:t>
      </w:r>
      <w:r>
        <w:t>: Out of all patients, 1.59% have both symptoms.</w:t>
      </w:r>
    </w:p>
    <w:p w14:paraId="613F9E49" w14:textId="37F10AC9" w:rsidR="0074046B" w:rsidRDefault="0074046B" w:rsidP="0074046B">
      <w:r>
        <w:lastRenderedPageBreak/>
        <w:t xml:space="preserve">- </w:t>
      </w:r>
      <w:r w:rsidRPr="007308C6">
        <w:rPr>
          <w:b/>
        </w:rPr>
        <w:t>Confidence</w:t>
      </w:r>
      <w:r>
        <w:t>: If a patient has joint stiffness, there's a 59.52% probability they also have joint pain.</w:t>
      </w:r>
    </w:p>
    <w:p w14:paraId="60A84629" w14:textId="3440C98C" w:rsidR="0074046B" w:rsidRDefault="0074046B" w:rsidP="0074046B">
      <w:r>
        <w:t xml:space="preserve">- </w:t>
      </w:r>
      <w:r w:rsidRPr="007308C6">
        <w:rPr>
          <w:b/>
        </w:rPr>
        <w:t>Lift</w:t>
      </w:r>
      <w:r>
        <w:t>: Joint stiffness significantly increases the likelihood of also having joint pain.</w:t>
      </w:r>
    </w:p>
    <w:p w14:paraId="32988576" w14:textId="311A59C2" w:rsidR="0074046B" w:rsidRDefault="0074046B" w:rsidP="0074046B">
      <w:r>
        <w:t xml:space="preserve">- </w:t>
      </w:r>
      <w:proofErr w:type="spellStart"/>
      <w:r w:rsidRPr="007308C6">
        <w:rPr>
          <w:b/>
        </w:rPr>
        <w:t>Kulczynski</w:t>
      </w:r>
      <w:proofErr w:type="spellEnd"/>
      <w:r w:rsidRPr="007308C6">
        <w:rPr>
          <w:b/>
        </w:rPr>
        <w:t xml:space="preserve"> Coefficient: </w:t>
      </w:r>
      <w:r>
        <w:t>The rule is moderately balanced.</w:t>
      </w:r>
    </w:p>
    <w:p w14:paraId="0AD13868" w14:textId="6D5ED700" w:rsidR="0074046B" w:rsidRDefault="0074046B" w:rsidP="0074046B">
      <w:r>
        <w:t xml:space="preserve">- </w:t>
      </w:r>
      <w:r w:rsidRPr="007308C6">
        <w:rPr>
          <w:b/>
        </w:rPr>
        <w:t>Imbalance Ratio:</w:t>
      </w:r>
      <w:r>
        <w:t xml:space="preserve"> The occurrence of joint stiffness and joint pain is somewhat unbalanced but not extremely so.</w:t>
      </w:r>
    </w:p>
    <w:p w14:paraId="176D9E30" w14:textId="261158E7" w:rsidR="0074046B" w:rsidRPr="00B079F8" w:rsidRDefault="0074046B" w:rsidP="0074046B">
      <w:pPr>
        <w:rPr>
          <w:sz w:val="28"/>
          <w:u w:val="single"/>
        </w:rPr>
      </w:pPr>
      <w:r w:rsidRPr="00B079F8">
        <w:rPr>
          <w:b/>
          <w:sz w:val="28"/>
          <w:u w:val="single"/>
        </w:rPr>
        <w:t>Conditions Association Rule</w:t>
      </w:r>
    </w:p>
    <w:p w14:paraId="635A57F3" w14:textId="77777777" w:rsidR="0074046B" w:rsidRDefault="0074046B" w:rsidP="0074046B"/>
    <w:p w14:paraId="1BECEE2E" w14:textId="48F9700A" w:rsidR="0074046B" w:rsidRDefault="0074046B" w:rsidP="0074046B">
      <w:r w:rsidRPr="007308C6">
        <w:rPr>
          <w:b/>
        </w:rPr>
        <w:t>Selected Rule</w:t>
      </w:r>
      <w:r>
        <w:t>:</w:t>
      </w:r>
    </w:p>
    <w:p w14:paraId="6B7A1993" w14:textId="57C9F8B2" w:rsidR="0074046B" w:rsidRDefault="0074046B" w:rsidP="0074046B">
      <w:r>
        <w:t xml:space="preserve">- </w:t>
      </w:r>
      <w:r w:rsidRPr="007308C6">
        <w:rPr>
          <w:b/>
        </w:rPr>
        <w:t>Antecedent (If):</w:t>
      </w:r>
      <w:r>
        <w:t xml:space="preserve"> Fibromyalgia</w:t>
      </w:r>
    </w:p>
    <w:p w14:paraId="46340574" w14:textId="1BD62BD4" w:rsidR="0074046B" w:rsidRDefault="0074046B" w:rsidP="0074046B">
      <w:r>
        <w:t xml:space="preserve">- </w:t>
      </w:r>
      <w:r w:rsidRPr="007308C6">
        <w:rPr>
          <w:b/>
        </w:rPr>
        <w:t>Consequent (Then):</w:t>
      </w:r>
      <w:r>
        <w:t xml:space="preserve"> Generalized Anxiety Disorder</w:t>
      </w:r>
    </w:p>
    <w:p w14:paraId="54C20017" w14:textId="77777777" w:rsidR="0074046B" w:rsidRDefault="0074046B" w:rsidP="0074046B"/>
    <w:p w14:paraId="318A611A" w14:textId="587863D3" w:rsidR="0074046B" w:rsidRDefault="0074046B" w:rsidP="0074046B">
      <w:r w:rsidRPr="007308C6">
        <w:rPr>
          <w:b/>
        </w:rPr>
        <w:t>Metrics</w:t>
      </w:r>
      <w:r>
        <w:t>:</w:t>
      </w:r>
    </w:p>
    <w:p w14:paraId="24BBE7C2" w14:textId="582D7090" w:rsidR="0074046B" w:rsidRDefault="0074046B" w:rsidP="0074046B">
      <w:r>
        <w:t xml:space="preserve">- </w:t>
      </w:r>
      <w:r w:rsidRPr="007308C6">
        <w:rPr>
          <w:b/>
        </w:rPr>
        <w:t>Support</w:t>
      </w:r>
      <w:r>
        <w:t>: 1.37% (0.013704)</w:t>
      </w:r>
    </w:p>
    <w:p w14:paraId="57B6B1A0" w14:textId="77777777" w:rsidR="0074046B" w:rsidRDefault="0074046B" w:rsidP="0074046B">
      <w:r>
        <w:t xml:space="preserve">  - 1.37% of all patients have both fibromyalgia and generalized anxiety disorder.</w:t>
      </w:r>
    </w:p>
    <w:p w14:paraId="16C93127" w14:textId="3647330C" w:rsidR="0074046B" w:rsidRDefault="0074046B" w:rsidP="0074046B">
      <w:r>
        <w:t xml:space="preserve">- </w:t>
      </w:r>
      <w:r w:rsidRPr="007308C6">
        <w:rPr>
          <w:b/>
        </w:rPr>
        <w:t>Confidence</w:t>
      </w:r>
      <w:r>
        <w:t>: 64.02% (0.64018)</w:t>
      </w:r>
    </w:p>
    <w:p w14:paraId="3F6F5978" w14:textId="77777777" w:rsidR="0074046B" w:rsidRDefault="0074046B" w:rsidP="0074046B">
      <w:r>
        <w:t xml:space="preserve">  - If a patient has fibromyalgia, there's a 64.02% chance they also have generalized anxiety disorder.</w:t>
      </w:r>
    </w:p>
    <w:p w14:paraId="2DC82231" w14:textId="48FF1A0A" w:rsidR="0074046B" w:rsidRDefault="0074046B" w:rsidP="0074046B">
      <w:r>
        <w:t xml:space="preserve">- </w:t>
      </w:r>
      <w:r w:rsidRPr="007308C6">
        <w:rPr>
          <w:b/>
        </w:rPr>
        <w:t>Lift</w:t>
      </w:r>
      <w:r>
        <w:t>: 2.57</w:t>
      </w:r>
    </w:p>
    <w:p w14:paraId="71D48438" w14:textId="77777777" w:rsidR="0074046B" w:rsidRDefault="0074046B" w:rsidP="0074046B">
      <w:r>
        <w:t xml:space="preserve">  - Having fibromyalgia makes it 2.57 times more likely that a patient will have generalized anxiety disorder.</w:t>
      </w:r>
    </w:p>
    <w:p w14:paraId="00E1510F" w14:textId="1641FED9" w:rsidR="0074046B" w:rsidRDefault="0074046B" w:rsidP="0074046B">
      <w:r>
        <w:t xml:space="preserve">- </w:t>
      </w:r>
      <w:proofErr w:type="spellStart"/>
      <w:r w:rsidRPr="007308C6">
        <w:rPr>
          <w:b/>
        </w:rPr>
        <w:t>Kulczynski</w:t>
      </w:r>
      <w:proofErr w:type="spellEnd"/>
      <w:r w:rsidRPr="007308C6">
        <w:rPr>
          <w:b/>
        </w:rPr>
        <w:t xml:space="preserve"> Coefficient:</w:t>
      </w:r>
      <w:r>
        <w:t xml:space="preserve"> 0.307</w:t>
      </w:r>
    </w:p>
    <w:p w14:paraId="5EEF518A" w14:textId="77777777" w:rsidR="0074046B" w:rsidRDefault="0074046B" w:rsidP="0074046B">
      <w:r>
        <w:t xml:space="preserve">  - Measures the balance between how often fibromyalgia and generalized anxiety disorder occur together and separately.</w:t>
      </w:r>
    </w:p>
    <w:p w14:paraId="1E17F19B" w14:textId="5ACB9C49" w:rsidR="0074046B" w:rsidRDefault="0074046B" w:rsidP="0074046B">
      <w:r>
        <w:t xml:space="preserve">- </w:t>
      </w:r>
      <w:r w:rsidRPr="007308C6">
        <w:rPr>
          <w:b/>
        </w:rPr>
        <w:t>Imbalance Ratio:</w:t>
      </w:r>
      <w:r>
        <w:t xml:space="preserve"> 0.84</w:t>
      </w:r>
    </w:p>
    <w:p w14:paraId="586380DE" w14:textId="37A52908" w:rsidR="007308C6" w:rsidRDefault="0074046B" w:rsidP="0074046B">
      <w:r>
        <w:t xml:space="preserve">  - Shows the disparity between the occurrences of fibromyalgia and generalized anxiety disorder.</w:t>
      </w:r>
    </w:p>
    <w:p w14:paraId="7768E15A" w14:textId="1D6E9DB7" w:rsidR="0074046B" w:rsidRDefault="0074046B" w:rsidP="0074046B">
      <w:r w:rsidRPr="007308C6">
        <w:rPr>
          <w:b/>
        </w:rPr>
        <w:t>Contingency Table:</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7308C6" w14:paraId="3F85C3F6" w14:textId="77777777" w:rsidTr="007B7B32">
        <w:tc>
          <w:tcPr>
            <w:tcW w:w="2337" w:type="dxa"/>
            <w:shd w:val="clear" w:color="auto" w:fill="BFBFBF" w:themeFill="background1" w:themeFillShade="BF"/>
          </w:tcPr>
          <w:p w14:paraId="6A2B08EA" w14:textId="77777777" w:rsidR="007308C6" w:rsidRPr="007B7B32" w:rsidRDefault="007308C6" w:rsidP="0074046B">
            <w:pPr>
              <w:rPr>
                <w:b/>
              </w:rPr>
            </w:pPr>
          </w:p>
        </w:tc>
        <w:tc>
          <w:tcPr>
            <w:tcW w:w="2337" w:type="dxa"/>
            <w:shd w:val="clear" w:color="auto" w:fill="BFBFBF" w:themeFill="background1" w:themeFillShade="BF"/>
          </w:tcPr>
          <w:p w14:paraId="1001F132" w14:textId="57BD79C0" w:rsidR="007308C6" w:rsidRPr="007B7B32" w:rsidRDefault="007308C6" w:rsidP="0074046B">
            <w:pPr>
              <w:rPr>
                <w:b/>
              </w:rPr>
            </w:pPr>
            <w:r w:rsidRPr="007B7B32">
              <w:rPr>
                <w:b/>
              </w:rPr>
              <w:t>Generalized Anxiety Disorder Present</w:t>
            </w:r>
          </w:p>
        </w:tc>
        <w:tc>
          <w:tcPr>
            <w:tcW w:w="2338" w:type="dxa"/>
            <w:shd w:val="clear" w:color="auto" w:fill="BFBFBF" w:themeFill="background1" w:themeFillShade="BF"/>
          </w:tcPr>
          <w:p w14:paraId="358ECC21" w14:textId="3DC68637" w:rsidR="007308C6" w:rsidRPr="007B7B32" w:rsidRDefault="007308C6" w:rsidP="0074046B">
            <w:pPr>
              <w:rPr>
                <w:b/>
              </w:rPr>
            </w:pPr>
            <w:r w:rsidRPr="007B7B32">
              <w:rPr>
                <w:b/>
              </w:rPr>
              <w:t>Generalized Anxiety Disorder</w:t>
            </w:r>
          </w:p>
        </w:tc>
        <w:tc>
          <w:tcPr>
            <w:tcW w:w="2338" w:type="dxa"/>
            <w:shd w:val="clear" w:color="auto" w:fill="BFBFBF" w:themeFill="background1" w:themeFillShade="BF"/>
          </w:tcPr>
          <w:p w14:paraId="4239D3F9" w14:textId="4F62CDFA" w:rsidR="007308C6" w:rsidRPr="007B7B32" w:rsidRDefault="007308C6" w:rsidP="0074046B">
            <w:pPr>
              <w:rPr>
                <w:b/>
              </w:rPr>
            </w:pPr>
            <w:r w:rsidRPr="007B7B32">
              <w:rPr>
                <w:b/>
              </w:rPr>
              <w:t>Total</w:t>
            </w:r>
          </w:p>
        </w:tc>
      </w:tr>
      <w:tr w:rsidR="007308C6" w14:paraId="2885C2C3" w14:textId="77777777" w:rsidTr="007308C6">
        <w:tc>
          <w:tcPr>
            <w:tcW w:w="2337" w:type="dxa"/>
          </w:tcPr>
          <w:p w14:paraId="09BB794E" w14:textId="5556EE9C" w:rsidR="007308C6" w:rsidRDefault="007308C6" w:rsidP="0074046B">
            <w:r>
              <w:t xml:space="preserve">Fibromyalgia Present                   </w:t>
            </w:r>
          </w:p>
        </w:tc>
        <w:tc>
          <w:tcPr>
            <w:tcW w:w="2337" w:type="dxa"/>
          </w:tcPr>
          <w:p w14:paraId="78295D01" w14:textId="3298562B" w:rsidR="007308C6" w:rsidRDefault="000D38D6" w:rsidP="0074046B">
            <w:r>
              <w:t xml:space="preserve">2142.75                             </w:t>
            </w:r>
          </w:p>
        </w:tc>
        <w:tc>
          <w:tcPr>
            <w:tcW w:w="2338" w:type="dxa"/>
          </w:tcPr>
          <w:p w14:paraId="65E1EDFD" w14:textId="0881ACCA" w:rsidR="007308C6" w:rsidRDefault="000D38D6" w:rsidP="0074046B">
            <w:r>
              <w:t xml:space="preserve">12072.31                           </w:t>
            </w:r>
          </w:p>
        </w:tc>
        <w:tc>
          <w:tcPr>
            <w:tcW w:w="2338" w:type="dxa"/>
          </w:tcPr>
          <w:p w14:paraId="27740237" w14:textId="1C37DD7F" w:rsidR="007308C6" w:rsidRDefault="000D38D6" w:rsidP="0074046B">
            <w:r>
              <w:t xml:space="preserve">14215.06     </w:t>
            </w:r>
          </w:p>
        </w:tc>
      </w:tr>
      <w:tr w:rsidR="007308C6" w14:paraId="3DC6FB3A" w14:textId="77777777" w:rsidTr="007308C6">
        <w:tc>
          <w:tcPr>
            <w:tcW w:w="2337" w:type="dxa"/>
          </w:tcPr>
          <w:p w14:paraId="2E8D70F5" w14:textId="17B6F738" w:rsidR="007308C6" w:rsidRDefault="000D38D6" w:rsidP="0074046B">
            <w:r>
              <w:t xml:space="preserve">Fibromyalgia Absent                    </w:t>
            </w:r>
          </w:p>
        </w:tc>
        <w:tc>
          <w:tcPr>
            <w:tcW w:w="2337" w:type="dxa"/>
          </w:tcPr>
          <w:p w14:paraId="033330BD" w14:textId="584DF22F" w:rsidR="007308C6" w:rsidRDefault="000D38D6" w:rsidP="0074046B">
            <w:r>
              <w:t xml:space="preserve">120391.99                           </w:t>
            </w:r>
          </w:p>
        </w:tc>
        <w:tc>
          <w:tcPr>
            <w:tcW w:w="2338" w:type="dxa"/>
          </w:tcPr>
          <w:p w14:paraId="5DE16BF2" w14:textId="7FE47622" w:rsidR="007308C6" w:rsidRDefault="000D38D6" w:rsidP="0074046B">
            <w:r>
              <w:t xml:space="preserve">2449689.72                         </w:t>
            </w:r>
          </w:p>
        </w:tc>
        <w:tc>
          <w:tcPr>
            <w:tcW w:w="2338" w:type="dxa"/>
          </w:tcPr>
          <w:p w14:paraId="2BF6FFFB" w14:textId="0C5A1E68" w:rsidR="007308C6" w:rsidRDefault="000D38D6" w:rsidP="0074046B">
            <w:r>
              <w:t xml:space="preserve">2570081.71   </w:t>
            </w:r>
          </w:p>
        </w:tc>
      </w:tr>
      <w:tr w:rsidR="007308C6" w14:paraId="3FB20A03" w14:textId="77777777" w:rsidTr="007308C6">
        <w:tc>
          <w:tcPr>
            <w:tcW w:w="2337" w:type="dxa"/>
          </w:tcPr>
          <w:p w14:paraId="15A0BF02" w14:textId="32AED5B5" w:rsidR="007308C6" w:rsidRDefault="000D38D6" w:rsidP="0074046B">
            <w:r>
              <w:t>Total</w:t>
            </w:r>
          </w:p>
        </w:tc>
        <w:tc>
          <w:tcPr>
            <w:tcW w:w="2337" w:type="dxa"/>
          </w:tcPr>
          <w:p w14:paraId="52CC6885" w14:textId="3187BFEB" w:rsidR="007308C6" w:rsidRDefault="000D38D6" w:rsidP="0074046B">
            <w:r>
              <w:t xml:space="preserve">122534.74                           </w:t>
            </w:r>
          </w:p>
        </w:tc>
        <w:tc>
          <w:tcPr>
            <w:tcW w:w="2338" w:type="dxa"/>
          </w:tcPr>
          <w:p w14:paraId="06D2AA62" w14:textId="11B511CB" w:rsidR="007308C6" w:rsidRDefault="000D38D6" w:rsidP="0074046B">
            <w:r>
              <w:t xml:space="preserve">2461762.03                         </w:t>
            </w:r>
          </w:p>
        </w:tc>
        <w:tc>
          <w:tcPr>
            <w:tcW w:w="2338" w:type="dxa"/>
          </w:tcPr>
          <w:p w14:paraId="5ADF32F0" w14:textId="609B4CC8" w:rsidR="007308C6" w:rsidRDefault="000D38D6" w:rsidP="0074046B">
            <w:r>
              <w:t xml:space="preserve">2584296.77   </w:t>
            </w:r>
          </w:p>
        </w:tc>
      </w:tr>
    </w:tbl>
    <w:p w14:paraId="0D9A3003" w14:textId="77777777" w:rsidR="0074046B" w:rsidRDefault="0074046B" w:rsidP="0074046B"/>
    <w:p w14:paraId="6F308F5F" w14:textId="2DA1CCF7" w:rsidR="0074046B" w:rsidRDefault="0074046B" w:rsidP="0074046B">
      <w:r w:rsidRPr="007308C6">
        <w:rPr>
          <w:b/>
        </w:rPr>
        <w:t>Explanation</w:t>
      </w:r>
      <w:r>
        <w:t>:</w:t>
      </w:r>
    </w:p>
    <w:p w14:paraId="34F916C4" w14:textId="6076406D" w:rsidR="0074046B" w:rsidRDefault="0074046B" w:rsidP="0074046B">
      <w:r>
        <w:lastRenderedPageBreak/>
        <w:t xml:space="preserve">- </w:t>
      </w:r>
      <w:r w:rsidRPr="007308C6">
        <w:rPr>
          <w:b/>
        </w:rPr>
        <w:t>Support</w:t>
      </w:r>
      <w:r>
        <w:t>: 1.37% of patients have both conditions.</w:t>
      </w:r>
    </w:p>
    <w:p w14:paraId="52EB1C5E" w14:textId="49A0C6D5" w:rsidR="0074046B" w:rsidRDefault="0074046B" w:rsidP="0074046B">
      <w:r>
        <w:t xml:space="preserve">- </w:t>
      </w:r>
      <w:r w:rsidRPr="007308C6">
        <w:rPr>
          <w:b/>
        </w:rPr>
        <w:t>Confidence</w:t>
      </w:r>
      <w:r>
        <w:t>: If a patient has fibromyalgia, there's a 64.02% probability they also have generalized anxiety disorder.</w:t>
      </w:r>
    </w:p>
    <w:p w14:paraId="20AC20B6" w14:textId="26139411" w:rsidR="0074046B" w:rsidRDefault="0074046B" w:rsidP="0074046B">
      <w:r>
        <w:t xml:space="preserve">- </w:t>
      </w:r>
      <w:r w:rsidRPr="007308C6">
        <w:rPr>
          <w:b/>
        </w:rPr>
        <w:t>Lift</w:t>
      </w:r>
      <w:r>
        <w:t>: Fibromyalgia significantly increases the likelihood of having generalized anxiety disorder.</w:t>
      </w:r>
    </w:p>
    <w:p w14:paraId="066FA270" w14:textId="4E43921A" w:rsidR="0074046B" w:rsidRDefault="0074046B" w:rsidP="0074046B">
      <w:r>
        <w:t xml:space="preserve">- </w:t>
      </w:r>
      <w:proofErr w:type="spellStart"/>
      <w:r w:rsidRPr="007308C6">
        <w:rPr>
          <w:b/>
        </w:rPr>
        <w:t>Kulczynski</w:t>
      </w:r>
      <w:proofErr w:type="spellEnd"/>
      <w:r>
        <w:t xml:space="preserve"> </w:t>
      </w:r>
      <w:r w:rsidRPr="007308C6">
        <w:rPr>
          <w:b/>
        </w:rPr>
        <w:t>Coefficient</w:t>
      </w:r>
      <w:r>
        <w:t>: The rule is moderately balanced.</w:t>
      </w:r>
    </w:p>
    <w:p w14:paraId="2CB62C51" w14:textId="5623F08C" w:rsidR="0074046B" w:rsidRDefault="0074046B" w:rsidP="0074046B">
      <w:r>
        <w:t xml:space="preserve">- </w:t>
      </w:r>
      <w:r w:rsidRPr="007308C6">
        <w:rPr>
          <w:b/>
        </w:rPr>
        <w:t>Imbalance</w:t>
      </w:r>
      <w:r>
        <w:t xml:space="preserve"> </w:t>
      </w:r>
      <w:r w:rsidRPr="007308C6">
        <w:rPr>
          <w:b/>
        </w:rPr>
        <w:t>Ratio</w:t>
      </w:r>
      <w:r>
        <w:t>: The occurrence of fibromyalgia and generalized anxiety disorder is somewhat unbalanced but not extremely so.</w:t>
      </w:r>
    </w:p>
    <w:p w14:paraId="63CEF37E" w14:textId="35A1C097" w:rsidR="0074046B" w:rsidRPr="00B079F8" w:rsidRDefault="0074046B" w:rsidP="0074046B">
      <w:pPr>
        <w:rPr>
          <w:b/>
          <w:sz w:val="28"/>
          <w:u w:val="single"/>
        </w:rPr>
      </w:pPr>
      <w:r w:rsidRPr="00B079F8">
        <w:rPr>
          <w:b/>
          <w:sz w:val="28"/>
          <w:u w:val="single"/>
        </w:rPr>
        <w:t>Treatments Association Rule</w:t>
      </w:r>
    </w:p>
    <w:p w14:paraId="23EB9DAF" w14:textId="6432F13E" w:rsidR="0074046B" w:rsidRDefault="0074046B" w:rsidP="0074046B">
      <w:r w:rsidRPr="007308C6">
        <w:rPr>
          <w:b/>
        </w:rPr>
        <w:t>Selected</w:t>
      </w:r>
      <w:r>
        <w:t xml:space="preserve"> </w:t>
      </w:r>
      <w:r w:rsidRPr="007308C6">
        <w:rPr>
          <w:b/>
        </w:rPr>
        <w:t>Rule</w:t>
      </w:r>
      <w:r>
        <w:t>:</w:t>
      </w:r>
    </w:p>
    <w:p w14:paraId="210D1A51" w14:textId="34DD7608" w:rsidR="0074046B" w:rsidRDefault="0074046B" w:rsidP="0074046B">
      <w:r>
        <w:t xml:space="preserve">- </w:t>
      </w:r>
      <w:r w:rsidRPr="007308C6">
        <w:rPr>
          <w:b/>
        </w:rPr>
        <w:t>Antecedent</w:t>
      </w:r>
      <w:r>
        <w:t xml:space="preserve"> </w:t>
      </w:r>
      <w:r w:rsidRPr="007308C6">
        <w:rPr>
          <w:b/>
        </w:rPr>
        <w:t>(If):</w:t>
      </w:r>
      <w:r>
        <w:t xml:space="preserve"> Vitamin D</w:t>
      </w:r>
    </w:p>
    <w:p w14:paraId="2C7C892A" w14:textId="19662917" w:rsidR="0074046B" w:rsidRDefault="0074046B" w:rsidP="0074046B">
      <w:r>
        <w:t xml:space="preserve">- </w:t>
      </w:r>
      <w:r w:rsidRPr="007308C6">
        <w:rPr>
          <w:b/>
        </w:rPr>
        <w:t>Consequent</w:t>
      </w:r>
      <w:r>
        <w:t xml:space="preserve"> </w:t>
      </w:r>
      <w:r w:rsidRPr="007308C6">
        <w:rPr>
          <w:b/>
        </w:rPr>
        <w:t>(Then):</w:t>
      </w:r>
      <w:r>
        <w:t xml:space="preserve"> Ibuprofen</w:t>
      </w:r>
    </w:p>
    <w:p w14:paraId="40A6D3FE" w14:textId="269E33CF" w:rsidR="0074046B" w:rsidRDefault="0074046B" w:rsidP="0074046B">
      <w:r w:rsidRPr="007308C6">
        <w:rPr>
          <w:b/>
        </w:rPr>
        <w:t>Metrics:</w:t>
      </w:r>
    </w:p>
    <w:p w14:paraId="5B1F98E7" w14:textId="5F2E9100" w:rsidR="0074046B" w:rsidRDefault="0074046B" w:rsidP="0074046B">
      <w:r>
        <w:t xml:space="preserve">- </w:t>
      </w:r>
      <w:r w:rsidRPr="007308C6">
        <w:rPr>
          <w:b/>
        </w:rPr>
        <w:t>Support</w:t>
      </w:r>
      <w:r>
        <w:t>: 1.21% (0.012071)</w:t>
      </w:r>
    </w:p>
    <w:p w14:paraId="6639C9C1" w14:textId="77777777" w:rsidR="0074046B" w:rsidRDefault="0074046B" w:rsidP="0074046B">
      <w:r>
        <w:t xml:space="preserve">  - 1.21% of all patients take both vitamin D and ibuprofen.</w:t>
      </w:r>
    </w:p>
    <w:p w14:paraId="51FDEA46" w14:textId="79E822D4" w:rsidR="0074046B" w:rsidRDefault="0074046B" w:rsidP="0074046B">
      <w:r>
        <w:t xml:space="preserve">- </w:t>
      </w:r>
      <w:r w:rsidRPr="007308C6">
        <w:rPr>
          <w:b/>
        </w:rPr>
        <w:t>Confidence</w:t>
      </w:r>
      <w:r>
        <w:t>: 10.81% (0.108080)</w:t>
      </w:r>
    </w:p>
    <w:p w14:paraId="15114E42" w14:textId="77777777" w:rsidR="0074046B" w:rsidRDefault="0074046B" w:rsidP="0074046B">
      <w:r>
        <w:t xml:space="preserve">  - If a patient takes vitamin D, there's a 10.81% chance they also take ibuprofen.</w:t>
      </w:r>
    </w:p>
    <w:p w14:paraId="53F3F0C0" w14:textId="34C6E7E6" w:rsidR="0074046B" w:rsidRDefault="0074046B" w:rsidP="0074046B">
      <w:r>
        <w:t xml:space="preserve">- </w:t>
      </w:r>
      <w:r w:rsidRPr="007308C6">
        <w:rPr>
          <w:b/>
        </w:rPr>
        <w:t>Lift</w:t>
      </w:r>
      <w:r>
        <w:t>: 1.07</w:t>
      </w:r>
    </w:p>
    <w:p w14:paraId="5067C71F" w14:textId="77777777" w:rsidR="0074046B" w:rsidRDefault="0074046B" w:rsidP="0074046B">
      <w:r>
        <w:t xml:space="preserve">  - Taking vitamin D slightly increases the likelihood of also taking ibuprofen.</w:t>
      </w:r>
    </w:p>
    <w:p w14:paraId="384ED424" w14:textId="1E35B1ED" w:rsidR="0074046B" w:rsidRDefault="0074046B" w:rsidP="0074046B">
      <w:r>
        <w:t xml:space="preserve">- </w:t>
      </w:r>
      <w:proofErr w:type="spellStart"/>
      <w:r w:rsidRPr="007308C6">
        <w:rPr>
          <w:b/>
        </w:rPr>
        <w:t>Kulczynski</w:t>
      </w:r>
      <w:proofErr w:type="spellEnd"/>
      <w:r w:rsidRPr="007308C6">
        <w:rPr>
          <w:b/>
        </w:rPr>
        <w:t xml:space="preserve"> Coefficient</w:t>
      </w:r>
      <w:r>
        <w:t>: 0.114</w:t>
      </w:r>
    </w:p>
    <w:p w14:paraId="432D47CA" w14:textId="77777777" w:rsidR="0074046B" w:rsidRDefault="0074046B" w:rsidP="0074046B">
      <w:r>
        <w:t xml:space="preserve">  - Measures the balance between how often vitamin D and ibuprofen are taken together and separately.</w:t>
      </w:r>
    </w:p>
    <w:p w14:paraId="3B27DAA3" w14:textId="7A0B8FC2" w:rsidR="0074046B" w:rsidRDefault="0074046B" w:rsidP="0074046B">
      <w:r>
        <w:t xml:space="preserve">- </w:t>
      </w:r>
      <w:r w:rsidRPr="007308C6">
        <w:rPr>
          <w:b/>
        </w:rPr>
        <w:t>Imbalance Ratio:</w:t>
      </w:r>
      <w:r>
        <w:t xml:space="preserve"> 0.055</w:t>
      </w:r>
    </w:p>
    <w:p w14:paraId="04687F60" w14:textId="7F430EB9" w:rsidR="0074046B" w:rsidRDefault="0074046B" w:rsidP="0074046B">
      <w:r>
        <w:t xml:space="preserve">  - Shows the disparity between the occurrences of taking vitamin D and ibuprofen.</w:t>
      </w:r>
    </w:p>
    <w:p w14:paraId="79ED019B" w14:textId="6A155763" w:rsidR="0074046B" w:rsidRPr="007B7B32" w:rsidRDefault="0074046B" w:rsidP="0074046B">
      <w:pPr>
        <w:rPr>
          <w:b/>
        </w:rPr>
      </w:pPr>
      <w:r w:rsidRPr="007308C6">
        <w:rPr>
          <w:b/>
        </w:rPr>
        <w:t>Contingency Table:</w:t>
      </w:r>
    </w:p>
    <w:tbl>
      <w:tblPr>
        <w:tblStyle w:val="TableGrid"/>
        <w:tblW w:w="0" w:type="auto"/>
        <w:tblLook w:val="04A0" w:firstRow="1" w:lastRow="0" w:firstColumn="1" w:lastColumn="0" w:noHBand="0" w:noVBand="1"/>
      </w:tblPr>
      <w:tblGrid>
        <w:gridCol w:w="2337"/>
        <w:gridCol w:w="2337"/>
        <w:gridCol w:w="2338"/>
        <w:gridCol w:w="2338"/>
      </w:tblGrid>
      <w:tr w:rsidR="000D38D6" w:rsidRPr="007B7B32" w14:paraId="7E748FE2" w14:textId="77777777" w:rsidTr="007B7B32">
        <w:tc>
          <w:tcPr>
            <w:tcW w:w="2337" w:type="dxa"/>
            <w:shd w:val="clear" w:color="auto" w:fill="BFBFBF" w:themeFill="background1" w:themeFillShade="BF"/>
          </w:tcPr>
          <w:p w14:paraId="49C2F938" w14:textId="77777777" w:rsidR="000D38D6" w:rsidRPr="007B7B32" w:rsidRDefault="000D38D6" w:rsidP="0074046B">
            <w:pPr>
              <w:rPr>
                <w:b/>
              </w:rPr>
            </w:pPr>
          </w:p>
        </w:tc>
        <w:tc>
          <w:tcPr>
            <w:tcW w:w="2337" w:type="dxa"/>
            <w:shd w:val="clear" w:color="auto" w:fill="BFBFBF" w:themeFill="background1" w:themeFillShade="BF"/>
          </w:tcPr>
          <w:p w14:paraId="57DFB7C1" w14:textId="7728F168" w:rsidR="000D38D6" w:rsidRPr="007B7B32" w:rsidRDefault="000D38D6" w:rsidP="0074046B">
            <w:pPr>
              <w:rPr>
                <w:b/>
              </w:rPr>
            </w:pPr>
            <w:r w:rsidRPr="007B7B32">
              <w:rPr>
                <w:b/>
              </w:rPr>
              <w:t>Ibuprofen Present</w:t>
            </w:r>
          </w:p>
        </w:tc>
        <w:tc>
          <w:tcPr>
            <w:tcW w:w="2338" w:type="dxa"/>
            <w:shd w:val="clear" w:color="auto" w:fill="BFBFBF" w:themeFill="background1" w:themeFillShade="BF"/>
          </w:tcPr>
          <w:p w14:paraId="3C993BDC" w14:textId="2F5AF999" w:rsidR="000D38D6" w:rsidRPr="007B7B32" w:rsidRDefault="000D38D6" w:rsidP="0074046B">
            <w:pPr>
              <w:rPr>
                <w:b/>
              </w:rPr>
            </w:pPr>
            <w:r w:rsidRPr="007B7B32">
              <w:rPr>
                <w:b/>
              </w:rPr>
              <w:t>Ibuprofen Absent</w:t>
            </w:r>
          </w:p>
        </w:tc>
        <w:tc>
          <w:tcPr>
            <w:tcW w:w="2338" w:type="dxa"/>
            <w:shd w:val="clear" w:color="auto" w:fill="BFBFBF" w:themeFill="background1" w:themeFillShade="BF"/>
          </w:tcPr>
          <w:p w14:paraId="5D9A2B1B" w14:textId="49198EAD" w:rsidR="000D38D6" w:rsidRPr="007B7B32" w:rsidRDefault="000D38D6" w:rsidP="0074046B">
            <w:pPr>
              <w:rPr>
                <w:b/>
              </w:rPr>
            </w:pPr>
            <w:r w:rsidRPr="007B7B32">
              <w:rPr>
                <w:b/>
              </w:rPr>
              <w:t xml:space="preserve">Total       </w:t>
            </w:r>
          </w:p>
        </w:tc>
      </w:tr>
      <w:tr w:rsidR="000D38D6" w14:paraId="3B699E64" w14:textId="77777777" w:rsidTr="000D38D6">
        <w:tc>
          <w:tcPr>
            <w:tcW w:w="2337" w:type="dxa"/>
          </w:tcPr>
          <w:p w14:paraId="58C0D294" w14:textId="01281603" w:rsidR="000D38D6" w:rsidRDefault="000D38D6" w:rsidP="0074046B">
            <w:r>
              <w:t xml:space="preserve">Vitamin D Present          </w:t>
            </w:r>
          </w:p>
        </w:tc>
        <w:tc>
          <w:tcPr>
            <w:tcW w:w="2337" w:type="dxa"/>
          </w:tcPr>
          <w:p w14:paraId="785B4CCE" w14:textId="39520452" w:rsidR="000D38D6" w:rsidRDefault="000D38D6" w:rsidP="0074046B">
            <w:r>
              <w:t xml:space="preserve">1602.66           </w:t>
            </w:r>
          </w:p>
        </w:tc>
        <w:tc>
          <w:tcPr>
            <w:tcW w:w="2338" w:type="dxa"/>
          </w:tcPr>
          <w:p w14:paraId="619E8141" w14:textId="01A70EE9" w:rsidR="000D38D6" w:rsidRDefault="000D38D6" w:rsidP="0074046B">
            <w:r>
              <w:t xml:space="preserve">3124.63         </w:t>
            </w:r>
          </w:p>
        </w:tc>
        <w:tc>
          <w:tcPr>
            <w:tcW w:w="2338" w:type="dxa"/>
          </w:tcPr>
          <w:p w14:paraId="18D195B9" w14:textId="47DEA719" w:rsidR="000D38D6" w:rsidRDefault="000D38D6" w:rsidP="0074046B">
            <w:r>
              <w:t xml:space="preserve">14727.29    </w:t>
            </w:r>
          </w:p>
        </w:tc>
      </w:tr>
      <w:tr w:rsidR="000D38D6" w14:paraId="2F26EC27" w14:textId="77777777" w:rsidTr="000D38D6">
        <w:tc>
          <w:tcPr>
            <w:tcW w:w="2337" w:type="dxa"/>
          </w:tcPr>
          <w:p w14:paraId="5DEE4768" w14:textId="611297D0" w:rsidR="000D38D6" w:rsidRDefault="000D38D6" w:rsidP="0074046B">
            <w:r>
              <w:t xml:space="preserve">Vitamin D Absent           </w:t>
            </w:r>
          </w:p>
        </w:tc>
        <w:tc>
          <w:tcPr>
            <w:tcW w:w="2337" w:type="dxa"/>
          </w:tcPr>
          <w:p w14:paraId="19363BE6" w14:textId="171D72A8" w:rsidR="000D38D6" w:rsidRDefault="000D38D6" w:rsidP="0074046B">
            <w:r>
              <w:t xml:space="preserve">24123.74          </w:t>
            </w:r>
          </w:p>
        </w:tc>
        <w:tc>
          <w:tcPr>
            <w:tcW w:w="2338" w:type="dxa"/>
          </w:tcPr>
          <w:p w14:paraId="50A4953C" w14:textId="7B1DC843" w:rsidR="000D38D6" w:rsidRDefault="000D38D6" w:rsidP="0074046B">
            <w:r>
              <w:t xml:space="preserve">2300345.74       </w:t>
            </w:r>
          </w:p>
        </w:tc>
        <w:tc>
          <w:tcPr>
            <w:tcW w:w="2338" w:type="dxa"/>
          </w:tcPr>
          <w:p w14:paraId="54FDFEDB" w14:textId="1B42962D" w:rsidR="000D38D6" w:rsidRDefault="000D38D6" w:rsidP="0074046B">
            <w:r>
              <w:t xml:space="preserve">2324469.48  </w:t>
            </w:r>
          </w:p>
        </w:tc>
      </w:tr>
      <w:tr w:rsidR="000D38D6" w14:paraId="4E808548" w14:textId="77777777" w:rsidTr="000D38D6">
        <w:tc>
          <w:tcPr>
            <w:tcW w:w="2337" w:type="dxa"/>
          </w:tcPr>
          <w:p w14:paraId="033E70C9" w14:textId="06026810" w:rsidR="000D38D6" w:rsidRDefault="000D38D6" w:rsidP="0074046B">
            <w:r>
              <w:t xml:space="preserve">Total     </w:t>
            </w:r>
          </w:p>
        </w:tc>
        <w:tc>
          <w:tcPr>
            <w:tcW w:w="2337" w:type="dxa"/>
          </w:tcPr>
          <w:p w14:paraId="0D796F9E" w14:textId="68F162C9" w:rsidR="000D38D6" w:rsidRDefault="000D38D6" w:rsidP="0074046B">
            <w:r>
              <w:t xml:space="preserve">25726.40          </w:t>
            </w:r>
          </w:p>
        </w:tc>
        <w:tc>
          <w:tcPr>
            <w:tcW w:w="2338" w:type="dxa"/>
          </w:tcPr>
          <w:p w14:paraId="06BBB468" w14:textId="484729D3" w:rsidR="000D38D6" w:rsidRDefault="000D38D6" w:rsidP="0074046B">
            <w:r>
              <w:t xml:space="preserve">2313469.87       </w:t>
            </w:r>
          </w:p>
        </w:tc>
        <w:tc>
          <w:tcPr>
            <w:tcW w:w="2338" w:type="dxa"/>
          </w:tcPr>
          <w:p w14:paraId="6A04A024" w14:textId="416DE080" w:rsidR="000D38D6" w:rsidRDefault="000D38D6" w:rsidP="0074046B">
            <w:r>
              <w:t xml:space="preserve">2339196.27  </w:t>
            </w:r>
          </w:p>
        </w:tc>
      </w:tr>
    </w:tbl>
    <w:p w14:paraId="14638AC7" w14:textId="77777777" w:rsidR="0074046B" w:rsidRDefault="0074046B" w:rsidP="0074046B"/>
    <w:p w14:paraId="49CFA452" w14:textId="1CE54FEA" w:rsidR="0074046B" w:rsidRDefault="0074046B" w:rsidP="0074046B">
      <w:r w:rsidRPr="007308C6">
        <w:rPr>
          <w:b/>
        </w:rPr>
        <w:t>Explanation</w:t>
      </w:r>
      <w:r>
        <w:t>:</w:t>
      </w:r>
    </w:p>
    <w:p w14:paraId="3DDFC830" w14:textId="71FB79CD" w:rsidR="0074046B" w:rsidRDefault="0074046B" w:rsidP="0074046B">
      <w:r>
        <w:t xml:space="preserve">- </w:t>
      </w:r>
      <w:r w:rsidRPr="007308C6">
        <w:rPr>
          <w:b/>
        </w:rPr>
        <w:t>Support</w:t>
      </w:r>
      <w:r>
        <w:t>: 1.21% of patients take both treatments.</w:t>
      </w:r>
    </w:p>
    <w:p w14:paraId="4D0FB094" w14:textId="4C8378D4" w:rsidR="0074046B" w:rsidRDefault="0074046B" w:rsidP="0074046B">
      <w:r>
        <w:lastRenderedPageBreak/>
        <w:t xml:space="preserve">- </w:t>
      </w:r>
      <w:r w:rsidRPr="007308C6">
        <w:rPr>
          <w:b/>
        </w:rPr>
        <w:t>Confidence</w:t>
      </w:r>
      <w:r>
        <w:t>: If a patient takes vitamin D, there's a 10.81% probability they also take ibuprofen.</w:t>
      </w:r>
    </w:p>
    <w:p w14:paraId="6DF6011E" w14:textId="16610A5C" w:rsidR="0074046B" w:rsidRDefault="0074046B" w:rsidP="0074046B">
      <w:r>
        <w:t xml:space="preserve">- </w:t>
      </w:r>
      <w:r w:rsidRPr="007308C6">
        <w:rPr>
          <w:b/>
        </w:rPr>
        <w:t>Lift</w:t>
      </w:r>
      <w:r>
        <w:t>: Vitamin D slightly increases the likelihood of taking ibuprofen.</w:t>
      </w:r>
    </w:p>
    <w:p w14:paraId="1195D68F" w14:textId="3B3C7B9B" w:rsidR="0074046B" w:rsidRDefault="0074046B" w:rsidP="0074046B">
      <w:r>
        <w:t xml:space="preserve">- </w:t>
      </w:r>
      <w:proofErr w:type="spellStart"/>
      <w:r w:rsidRPr="007308C6">
        <w:rPr>
          <w:b/>
        </w:rPr>
        <w:t>Kulczynski</w:t>
      </w:r>
      <w:proofErr w:type="spellEnd"/>
      <w:r w:rsidRPr="007308C6">
        <w:rPr>
          <w:b/>
        </w:rPr>
        <w:t xml:space="preserve"> Coefficient:</w:t>
      </w:r>
      <w:r>
        <w:t xml:space="preserve"> The rule is fairly balanced.</w:t>
      </w:r>
    </w:p>
    <w:p w14:paraId="210BD340" w14:textId="17859FBD" w:rsidR="0074046B" w:rsidRDefault="0074046B" w:rsidP="0074046B">
      <w:r>
        <w:t xml:space="preserve">- </w:t>
      </w:r>
      <w:r w:rsidRPr="007308C6">
        <w:rPr>
          <w:b/>
        </w:rPr>
        <w:t>Imbalance Ratio:</w:t>
      </w:r>
      <w:r>
        <w:t xml:space="preserve"> The occurrence of taking vitamin D and ibuprofen is well-balanced.</w:t>
      </w:r>
    </w:p>
    <w:p w14:paraId="604984D2" w14:textId="7C4DDDD0" w:rsidR="0074046B" w:rsidRPr="00B079F8" w:rsidRDefault="00B079F8" w:rsidP="0074046B">
      <w:pPr>
        <w:rPr>
          <w:b/>
          <w:sz w:val="28"/>
          <w:u w:val="single"/>
        </w:rPr>
      </w:pPr>
      <w:r w:rsidRPr="00B079F8">
        <w:rPr>
          <w:b/>
          <w:sz w:val="28"/>
          <w:u w:val="single"/>
        </w:rPr>
        <w:t>i</w:t>
      </w:r>
      <w:r w:rsidR="0074046B" w:rsidRPr="00B079F8">
        <w:rPr>
          <w:b/>
          <w:sz w:val="28"/>
          <w:u w:val="single"/>
        </w:rPr>
        <w:t>nteresting Association Rule</w:t>
      </w:r>
    </w:p>
    <w:p w14:paraId="7F79515D" w14:textId="6EF90049" w:rsidR="0074046B" w:rsidRDefault="0074046B" w:rsidP="0074046B">
      <w:r w:rsidRPr="007308C6">
        <w:rPr>
          <w:b/>
        </w:rPr>
        <w:t>Most Interesting Rule:</w:t>
      </w:r>
    </w:p>
    <w:p w14:paraId="6C335E42" w14:textId="50F5DE33" w:rsidR="0074046B" w:rsidRDefault="0074046B" w:rsidP="0074046B">
      <w:r>
        <w:t xml:space="preserve">- </w:t>
      </w:r>
      <w:r w:rsidRPr="007308C6">
        <w:rPr>
          <w:b/>
        </w:rPr>
        <w:t>Antecedent (If):</w:t>
      </w:r>
      <w:r>
        <w:t xml:space="preserve"> Fibromyalgia</w:t>
      </w:r>
    </w:p>
    <w:p w14:paraId="5A3F60BC" w14:textId="524371B1" w:rsidR="0074046B" w:rsidRDefault="0074046B" w:rsidP="0074046B">
      <w:r>
        <w:t xml:space="preserve">- </w:t>
      </w:r>
      <w:r w:rsidRPr="007308C6">
        <w:rPr>
          <w:b/>
        </w:rPr>
        <w:t>Consequent (Then):</w:t>
      </w:r>
      <w:r>
        <w:t xml:space="preserve"> Generalized Anxiety Disorder</w:t>
      </w:r>
    </w:p>
    <w:p w14:paraId="4C6EE7DC" w14:textId="63555947" w:rsidR="0074046B" w:rsidRDefault="0074046B" w:rsidP="0074046B">
      <w:r w:rsidRPr="007308C6">
        <w:rPr>
          <w:b/>
        </w:rPr>
        <w:t>Detailed Evaluation:</w:t>
      </w:r>
    </w:p>
    <w:p w14:paraId="55C1BB69" w14:textId="72D98869" w:rsidR="0074046B" w:rsidRDefault="0074046B" w:rsidP="0074046B">
      <w:r>
        <w:t xml:space="preserve">- </w:t>
      </w:r>
      <w:r w:rsidRPr="007308C6">
        <w:rPr>
          <w:b/>
        </w:rPr>
        <w:t>Support</w:t>
      </w:r>
      <w:r>
        <w:t>: 1.37% (0.013704)</w:t>
      </w:r>
    </w:p>
    <w:p w14:paraId="043F98D8" w14:textId="4658038E" w:rsidR="0074046B" w:rsidRDefault="0074046B" w:rsidP="0074046B">
      <w:r>
        <w:t xml:space="preserve">- </w:t>
      </w:r>
      <w:r w:rsidRPr="007308C6">
        <w:rPr>
          <w:b/>
        </w:rPr>
        <w:t>Confidence</w:t>
      </w:r>
      <w:r>
        <w:t>: 64.02% (0.64018)</w:t>
      </w:r>
    </w:p>
    <w:p w14:paraId="16D746F3" w14:textId="06CABF60" w:rsidR="0074046B" w:rsidRDefault="0074046B" w:rsidP="0074046B">
      <w:r>
        <w:t xml:space="preserve">- </w:t>
      </w:r>
      <w:r w:rsidRPr="007308C6">
        <w:rPr>
          <w:b/>
        </w:rPr>
        <w:t>Lift</w:t>
      </w:r>
      <w:r>
        <w:t>: 2.57</w:t>
      </w:r>
    </w:p>
    <w:p w14:paraId="5BC99FC2" w14:textId="580F85EF" w:rsidR="0074046B" w:rsidRDefault="0074046B" w:rsidP="0074046B">
      <w:r>
        <w:t xml:space="preserve">- </w:t>
      </w:r>
      <w:proofErr w:type="spellStart"/>
      <w:r w:rsidRPr="007308C6">
        <w:rPr>
          <w:b/>
        </w:rPr>
        <w:t>Kulczynski</w:t>
      </w:r>
      <w:proofErr w:type="spellEnd"/>
      <w:r w:rsidRPr="007308C6">
        <w:rPr>
          <w:b/>
        </w:rPr>
        <w:t xml:space="preserve"> Coefficient:</w:t>
      </w:r>
      <w:r>
        <w:t xml:space="preserve"> 0.307</w:t>
      </w:r>
    </w:p>
    <w:p w14:paraId="40B03537" w14:textId="27611B37" w:rsidR="0074046B" w:rsidRPr="00B079F8" w:rsidRDefault="0074046B" w:rsidP="0074046B">
      <w:r>
        <w:t xml:space="preserve">- </w:t>
      </w:r>
      <w:r w:rsidRPr="007308C6">
        <w:rPr>
          <w:b/>
        </w:rPr>
        <w:t>Imbalance Ratio:</w:t>
      </w:r>
      <w:r>
        <w:t xml:space="preserve"> 0.84</w:t>
      </w:r>
    </w:p>
    <w:p w14:paraId="156AF90A" w14:textId="535DE4B8" w:rsidR="0074046B" w:rsidRPr="00B079F8" w:rsidRDefault="0074046B" w:rsidP="0074046B">
      <w:pPr>
        <w:rPr>
          <w:b/>
        </w:rPr>
      </w:pPr>
      <w:r w:rsidRPr="007308C6">
        <w:rPr>
          <w:b/>
        </w:rPr>
        <w:t>Contingency Table:</w:t>
      </w:r>
    </w:p>
    <w:tbl>
      <w:tblPr>
        <w:tblStyle w:val="TableGrid"/>
        <w:tblW w:w="0" w:type="auto"/>
        <w:tblLook w:val="04A0" w:firstRow="1" w:lastRow="0" w:firstColumn="1" w:lastColumn="0" w:noHBand="0" w:noVBand="1"/>
      </w:tblPr>
      <w:tblGrid>
        <w:gridCol w:w="2337"/>
        <w:gridCol w:w="2337"/>
        <w:gridCol w:w="2338"/>
        <w:gridCol w:w="2338"/>
      </w:tblGrid>
      <w:tr w:rsidR="000D38D6" w14:paraId="13C6748B" w14:textId="77777777" w:rsidTr="007B7B32">
        <w:tc>
          <w:tcPr>
            <w:tcW w:w="2337" w:type="dxa"/>
            <w:shd w:val="clear" w:color="auto" w:fill="BFBFBF" w:themeFill="background1" w:themeFillShade="BF"/>
          </w:tcPr>
          <w:p w14:paraId="35CBE63F" w14:textId="77777777" w:rsidR="000D38D6" w:rsidRPr="007B7B32" w:rsidRDefault="000D38D6" w:rsidP="0074046B">
            <w:pPr>
              <w:rPr>
                <w:b/>
              </w:rPr>
            </w:pPr>
          </w:p>
        </w:tc>
        <w:tc>
          <w:tcPr>
            <w:tcW w:w="2337" w:type="dxa"/>
            <w:shd w:val="clear" w:color="auto" w:fill="BFBFBF" w:themeFill="background1" w:themeFillShade="BF"/>
          </w:tcPr>
          <w:p w14:paraId="6A4CC5FE" w14:textId="34F73188" w:rsidR="000D38D6" w:rsidRPr="007B7B32" w:rsidRDefault="000D38D6" w:rsidP="0074046B">
            <w:pPr>
              <w:rPr>
                <w:b/>
              </w:rPr>
            </w:pPr>
            <w:r w:rsidRPr="007B7B32">
              <w:rPr>
                <w:b/>
              </w:rPr>
              <w:t>Generalized Anxiety Disorder Present</w:t>
            </w:r>
          </w:p>
        </w:tc>
        <w:tc>
          <w:tcPr>
            <w:tcW w:w="2338" w:type="dxa"/>
            <w:shd w:val="clear" w:color="auto" w:fill="BFBFBF" w:themeFill="background1" w:themeFillShade="BF"/>
          </w:tcPr>
          <w:p w14:paraId="1E548993" w14:textId="19143305" w:rsidR="000D38D6" w:rsidRPr="007B7B32" w:rsidRDefault="000D38D6" w:rsidP="0074046B">
            <w:pPr>
              <w:rPr>
                <w:b/>
              </w:rPr>
            </w:pPr>
            <w:r w:rsidRPr="007B7B32">
              <w:rPr>
                <w:b/>
              </w:rPr>
              <w:t>Generalized Anxiety Disorder Absent</w:t>
            </w:r>
          </w:p>
        </w:tc>
        <w:tc>
          <w:tcPr>
            <w:tcW w:w="2338" w:type="dxa"/>
            <w:shd w:val="clear" w:color="auto" w:fill="BFBFBF" w:themeFill="background1" w:themeFillShade="BF"/>
          </w:tcPr>
          <w:p w14:paraId="2C2EA040" w14:textId="084FCE20" w:rsidR="000D38D6" w:rsidRPr="007B7B32" w:rsidRDefault="000D38D6" w:rsidP="0074046B">
            <w:pPr>
              <w:rPr>
                <w:b/>
              </w:rPr>
            </w:pPr>
            <w:r w:rsidRPr="007B7B32">
              <w:rPr>
                <w:b/>
              </w:rPr>
              <w:t>Total</w:t>
            </w:r>
          </w:p>
        </w:tc>
      </w:tr>
      <w:tr w:rsidR="000D38D6" w14:paraId="332D97F2" w14:textId="77777777" w:rsidTr="000D38D6">
        <w:tc>
          <w:tcPr>
            <w:tcW w:w="2337" w:type="dxa"/>
          </w:tcPr>
          <w:p w14:paraId="3F71C24D" w14:textId="22FEC262" w:rsidR="000D38D6" w:rsidRDefault="000D38D6" w:rsidP="0074046B">
            <w:r>
              <w:t xml:space="preserve">Fibromyalgia Present                   </w:t>
            </w:r>
          </w:p>
        </w:tc>
        <w:tc>
          <w:tcPr>
            <w:tcW w:w="2337" w:type="dxa"/>
          </w:tcPr>
          <w:p w14:paraId="0A37DA98" w14:textId="21F97278" w:rsidR="000D38D6" w:rsidRDefault="000D38D6" w:rsidP="0074046B">
            <w:r>
              <w:t xml:space="preserve">2142.75                             </w:t>
            </w:r>
          </w:p>
        </w:tc>
        <w:tc>
          <w:tcPr>
            <w:tcW w:w="2338" w:type="dxa"/>
          </w:tcPr>
          <w:p w14:paraId="1BC9ABCC" w14:textId="5E627968" w:rsidR="000D38D6" w:rsidRDefault="000D38D6" w:rsidP="0074046B">
            <w:r>
              <w:t xml:space="preserve">12072.31                           </w:t>
            </w:r>
          </w:p>
        </w:tc>
        <w:tc>
          <w:tcPr>
            <w:tcW w:w="2338" w:type="dxa"/>
          </w:tcPr>
          <w:p w14:paraId="22D07BE4" w14:textId="2DD6D3A1" w:rsidR="000D38D6" w:rsidRDefault="000D38D6" w:rsidP="0074046B">
            <w:r>
              <w:t xml:space="preserve">14215.06     </w:t>
            </w:r>
          </w:p>
        </w:tc>
      </w:tr>
      <w:tr w:rsidR="000D38D6" w14:paraId="225094D3" w14:textId="77777777" w:rsidTr="000D38D6">
        <w:tc>
          <w:tcPr>
            <w:tcW w:w="2337" w:type="dxa"/>
          </w:tcPr>
          <w:p w14:paraId="772AE8A4" w14:textId="0F0F75C8" w:rsidR="000D38D6" w:rsidRDefault="000D38D6" w:rsidP="0074046B">
            <w:r>
              <w:t xml:space="preserve">Fibromyalgia Absent                    </w:t>
            </w:r>
          </w:p>
        </w:tc>
        <w:tc>
          <w:tcPr>
            <w:tcW w:w="2337" w:type="dxa"/>
          </w:tcPr>
          <w:p w14:paraId="442BD197" w14:textId="477C6C69" w:rsidR="000D38D6" w:rsidRDefault="000D38D6" w:rsidP="0074046B">
            <w:r>
              <w:t xml:space="preserve">120391.99                           </w:t>
            </w:r>
          </w:p>
        </w:tc>
        <w:tc>
          <w:tcPr>
            <w:tcW w:w="2338" w:type="dxa"/>
          </w:tcPr>
          <w:p w14:paraId="60146AFD" w14:textId="711C9C74" w:rsidR="000D38D6" w:rsidRDefault="000D38D6" w:rsidP="0074046B">
            <w:r>
              <w:t xml:space="preserve">2449689.72                         </w:t>
            </w:r>
          </w:p>
        </w:tc>
        <w:tc>
          <w:tcPr>
            <w:tcW w:w="2338" w:type="dxa"/>
          </w:tcPr>
          <w:p w14:paraId="0A5963A6" w14:textId="7DE1EA51" w:rsidR="000D38D6" w:rsidRDefault="000D38D6" w:rsidP="0074046B">
            <w:r>
              <w:t xml:space="preserve">2570081.71   </w:t>
            </w:r>
          </w:p>
        </w:tc>
      </w:tr>
      <w:tr w:rsidR="000D38D6" w14:paraId="494E55B3" w14:textId="77777777" w:rsidTr="000D38D6">
        <w:tc>
          <w:tcPr>
            <w:tcW w:w="2337" w:type="dxa"/>
          </w:tcPr>
          <w:p w14:paraId="086A1B01" w14:textId="6BD0F931" w:rsidR="000D38D6" w:rsidRDefault="000D38D6" w:rsidP="0074046B">
            <w:r>
              <w:t xml:space="preserve">Total                                  </w:t>
            </w:r>
          </w:p>
        </w:tc>
        <w:tc>
          <w:tcPr>
            <w:tcW w:w="2337" w:type="dxa"/>
          </w:tcPr>
          <w:p w14:paraId="699A9940" w14:textId="10C3A2BB" w:rsidR="000D38D6" w:rsidRDefault="000D38D6" w:rsidP="0074046B">
            <w:r>
              <w:t xml:space="preserve">122534.74                           </w:t>
            </w:r>
          </w:p>
        </w:tc>
        <w:tc>
          <w:tcPr>
            <w:tcW w:w="2338" w:type="dxa"/>
          </w:tcPr>
          <w:p w14:paraId="6AF62CAD" w14:textId="1DF975BC" w:rsidR="000D38D6" w:rsidRDefault="000D38D6" w:rsidP="0074046B">
            <w:r>
              <w:t xml:space="preserve">2461762.03                         </w:t>
            </w:r>
          </w:p>
        </w:tc>
        <w:tc>
          <w:tcPr>
            <w:tcW w:w="2338" w:type="dxa"/>
          </w:tcPr>
          <w:p w14:paraId="011CCF6E" w14:textId="5E6CB45F" w:rsidR="000D38D6" w:rsidRDefault="000D38D6" w:rsidP="0074046B">
            <w:r>
              <w:t xml:space="preserve">2584296.77   </w:t>
            </w:r>
          </w:p>
        </w:tc>
      </w:tr>
    </w:tbl>
    <w:p w14:paraId="43E0B61F" w14:textId="77777777" w:rsidR="0074046B" w:rsidRDefault="0074046B" w:rsidP="0074046B"/>
    <w:p w14:paraId="1EB793AA" w14:textId="65F4CD7E" w:rsidR="0074046B" w:rsidRDefault="0074046B" w:rsidP="0074046B">
      <w:r w:rsidRPr="007308C6">
        <w:rPr>
          <w:b/>
        </w:rPr>
        <w:t>Explanation</w:t>
      </w:r>
      <w:r>
        <w:t>:</w:t>
      </w:r>
    </w:p>
    <w:p w14:paraId="7D60E24C" w14:textId="64FB0303" w:rsidR="007308C6" w:rsidRDefault="0074046B" w:rsidP="0074046B">
      <w:r>
        <w:t xml:space="preserve"> This rule is interesting because it shows a strong relationship between fibromyalgia and generalized anxiety disorder. The confidence is high (64.02%), indicating that many patients with fibromyalgia also suffer from generalized anxiety disorder. The lift of 2.57 shows that having fibromyalgia makes it much more likely to also have generalized anxiety disorder compared to the general population. This insight can help healthcare providers to monitor and treat both conditions together more effectively.</w:t>
      </w:r>
    </w:p>
    <w:p w14:paraId="7F66648F" w14:textId="77777777" w:rsidR="007308C6" w:rsidRDefault="007308C6" w:rsidP="007308C6"/>
    <w:p w14:paraId="4DAB494B" w14:textId="3184AFD0" w:rsidR="007308C6" w:rsidRPr="00B079F8" w:rsidRDefault="007308C6" w:rsidP="007308C6">
      <w:pPr>
        <w:rPr>
          <w:b/>
        </w:rPr>
      </w:pPr>
      <w:r w:rsidRPr="000D38D6">
        <w:rPr>
          <w:b/>
        </w:rPr>
        <w:t xml:space="preserve"> Mining Multidimensional Association Rules: Treatments, Weather, Food, and Conditions</w:t>
      </w:r>
    </w:p>
    <w:p w14:paraId="6C3479D4" w14:textId="02805BE9" w:rsidR="007308C6" w:rsidRPr="00B079F8" w:rsidRDefault="007308C6" w:rsidP="007308C6">
      <w:pPr>
        <w:rPr>
          <w:b/>
        </w:rPr>
      </w:pPr>
      <w:r w:rsidRPr="000D38D6">
        <w:rPr>
          <w:b/>
        </w:rPr>
        <w:t xml:space="preserve"> 1. Treatments and Conditions</w:t>
      </w:r>
    </w:p>
    <w:p w14:paraId="3432A3D1" w14:textId="215D1A4F" w:rsidR="007308C6" w:rsidRPr="000D38D6" w:rsidRDefault="007308C6" w:rsidP="007308C6">
      <w:pPr>
        <w:rPr>
          <w:b/>
        </w:rPr>
      </w:pPr>
      <w:r w:rsidRPr="000D38D6">
        <w:rPr>
          <w:b/>
        </w:rPr>
        <w:t>Support and Confidence Levels:</w:t>
      </w:r>
    </w:p>
    <w:p w14:paraId="15C34EB0" w14:textId="3E412E40" w:rsidR="007308C6" w:rsidRDefault="007308C6" w:rsidP="007308C6">
      <w:r>
        <w:t xml:space="preserve">- </w:t>
      </w:r>
      <w:r w:rsidRPr="000D38D6">
        <w:rPr>
          <w:b/>
        </w:rPr>
        <w:t>Support</w:t>
      </w:r>
      <w:r>
        <w:t xml:space="preserve">: 1% (0.01) </w:t>
      </w:r>
    </w:p>
    <w:p w14:paraId="00AE6D8A" w14:textId="11529F2B" w:rsidR="007308C6" w:rsidRDefault="007308C6" w:rsidP="007308C6">
      <w:r>
        <w:lastRenderedPageBreak/>
        <w:t xml:space="preserve"> - This level ensures that the rule is relevant to at least 1% of the dataset, balancing between finding significant patterns and avoiding overly rare associations.</w:t>
      </w:r>
    </w:p>
    <w:p w14:paraId="3EACF211" w14:textId="59F17B88" w:rsidR="007308C6" w:rsidRDefault="007308C6" w:rsidP="007308C6">
      <w:r>
        <w:t xml:space="preserve">- </w:t>
      </w:r>
      <w:r w:rsidRPr="000D38D6">
        <w:rPr>
          <w:b/>
        </w:rPr>
        <w:t>Confidence</w:t>
      </w:r>
      <w:r>
        <w:t>: 10% (0.10)</w:t>
      </w:r>
    </w:p>
    <w:p w14:paraId="2BB3614A" w14:textId="5EF23CD1" w:rsidR="007308C6" w:rsidRDefault="007308C6" w:rsidP="007308C6">
      <w:r>
        <w:t xml:space="preserve">  - This threshold ensures that there is a meaningful likelihood of the condition given the treatment.</w:t>
      </w:r>
    </w:p>
    <w:p w14:paraId="1BA815BF" w14:textId="30BAA0C0" w:rsidR="007308C6" w:rsidRDefault="007308C6" w:rsidP="007308C6">
      <w:r w:rsidRPr="000D38D6">
        <w:rPr>
          <w:b/>
        </w:rPr>
        <w:t>Example Rule:</w:t>
      </w:r>
    </w:p>
    <w:p w14:paraId="1A570D44" w14:textId="1B400412" w:rsidR="007308C6" w:rsidRDefault="007308C6" w:rsidP="007308C6">
      <w:r>
        <w:t xml:space="preserve">- </w:t>
      </w:r>
      <w:r w:rsidRPr="000D38D6">
        <w:rPr>
          <w:b/>
        </w:rPr>
        <w:t>Antecedent (If):</w:t>
      </w:r>
      <w:r>
        <w:t xml:space="preserve"> Ibuprofen</w:t>
      </w:r>
    </w:p>
    <w:p w14:paraId="00456755" w14:textId="0E140807" w:rsidR="007308C6" w:rsidRDefault="007308C6" w:rsidP="007308C6">
      <w:r>
        <w:t xml:space="preserve">- </w:t>
      </w:r>
      <w:r w:rsidRPr="000D38D6">
        <w:rPr>
          <w:b/>
        </w:rPr>
        <w:t>Consequent (Then):</w:t>
      </w:r>
      <w:r>
        <w:t xml:space="preserve"> Migraine</w:t>
      </w:r>
    </w:p>
    <w:p w14:paraId="0199DBA9" w14:textId="0C91AC8F" w:rsidR="007308C6" w:rsidRDefault="007308C6" w:rsidP="007308C6">
      <w:r w:rsidRPr="000D38D6">
        <w:rPr>
          <w:b/>
        </w:rPr>
        <w:t>Metrics</w:t>
      </w:r>
      <w:r>
        <w:t>:</w:t>
      </w:r>
    </w:p>
    <w:p w14:paraId="068C8338" w14:textId="3E69E1BB" w:rsidR="007308C6" w:rsidRDefault="007308C6" w:rsidP="007308C6">
      <w:r>
        <w:t xml:space="preserve">- </w:t>
      </w:r>
      <w:r w:rsidRPr="000D38D6">
        <w:rPr>
          <w:b/>
        </w:rPr>
        <w:t>Support</w:t>
      </w:r>
      <w:r>
        <w:t>: 2.57% (0.0257)</w:t>
      </w:r>
    </w:p>
    <w:p w14:paraId="5792AC42" w14:textId="77777777" w:rsidR="007308C6" w:rsidRDefault="007308C6" w:rsidP="007308C6">
      <w:r>
        <w:t xml:space="preserve">  - This indicates that 2.57% of the dataset reports using ibuprofen for migraines.</w:t>
      </w:r>
    </w:p>
    <w:p w14:paraId="30E745E1" w14:textId="1944FD3A" w:rsidR="007308C6" w:rsidRDefault="007308C6" w:rsidP="007308C6">
      <w:r>
        <w:t xml:space="preserve">- </w:t>
      </w:r>
      <w:r w:rsidRPr="000D38D6">
        <w:rPr>
          <w:b/>
        </w:rPr>
        <w:t>Confidence:</w:t>
      </w:r>
      <w:r>
        <w:t xml:space="preserve"> 15.00% (0.15)</w:t>
      </w:r>
    </w:p>
    <w:p w14:paraId="3370A3C7" w14:textId="77777777" w:rsidR="007308C6" w:rsidRDefault="007308C6" w:rsidP="007308C6">
      <w:r>
        <w:t xml:space="preserve">  - This means 15% of those who take ibuprofen do so for migraines.</w:t>
      </w:r>
    </w:p>
    <w:p w14:paraId="0347D75F" w14:textId="4AD295FC" w:rsidR="007308C6" w:rsidRDefault="007308C6" w:rsidP="007308C6">
      <w:r>
        <w:t xml:space="preserve">- </w:t>
      </w:r>
      <w:r w:rsidRPr="000D38D6">
        <w:rPr>
          <w:b/>
        </w:rPr>
        <w:t>Lift</w:t>
      </w:r>
      <w:r>
        <w:t>: 1.5</w:t>
      </w:r>
    </w:p>
    <w:p w14:paraId="7B250BBC" w14:textId="29B0F006" w:rsidR="007308C6" w:rsidRDefault="007308C6" w:rsidP="007308C6">
      <w:r>
        <w:t xml:space="preserve">  - This shows that taking ibuprofen is 1.5 times more likely to be associated with migraines compared to random chance.</w:t>
      </w:r>
    </w:p>
    <w:p w14:paraId="5278AEC4" w14:textId="65C4F3C1" w:rsidR="007308C6" w:rsidRPr="00B079F8" w:rsidRDefault="007308C6" w:rsidP="007308C6">
      <w:pPr>
        <w:rPr>
          <w:b/>
        </w:rPr>
      </w:pPr>
      <w:r w:rsidRPr="00B079F8">
        <w:rPr>
          <w:b/>
        </w:rPr>
        <w:t xml:space="preserve"> 2. Weather and Conditions</w:t>
      </w:r>
    </w:p>
    <w:p w14:paraId="696AE6A8" w14:textId="4FC821EE" w:rsidR="007308C6" w:rsidRDefault="007308C6" w:rsidP="007308C6">
      <w:r>
        <w:t>For this part, we'll assume we have data on weather conditions (like humidity, temperature, etc.) and how they relate to medical conditions.</w:t>
      </w:r>
    </w:p>
    <w:p w14:paraId="451FAE32" w14:textId="636536AE" w:rsidR="007308C6" w:rsidRPr="00B079F8" w:rsidRDefault="007308C6" w:rsidP="007308C6">
      <w:pPr>
        <w:rPr>
          <w:b/>
        </w:rPr>
      </w:pPr>
      <w:r w:rsidRPr="00B079F8">
        <w:rPr>
          <w:b/>
        </w:rPr>
        <w:t>Support and Confidence Levels:</w:t>
      </w:r>
    </w:p>
    <w:p w14:paraId="6B6A94F8" w14:textId="7972B6A0" w:rsidR="007308C6" w:rsidRDefault="007308C6" w:rsidP="007308C6">
      <w:r>
        <w:t>- Support: 0.5% (0.005)</w:t>
      </w:r>
    </w:p>
    <w:p w14:paraId="72E1E201" w14:textId="77777777" w:rsidR="007308C6" w:rsidRDefault="007308C6" w:rsidP="007308C6">
      <w:r>
        <w:t xml:space="preserve">  - This lower threshold is due to the more varied nature of weather data.</w:t>
      </w:r>
    </w:p>
    <w:p w14:paraId="5EA84090" w14:textId="13118A4B" w:rsidR="007308C6" w:rsidRDefault="007308C6" w:rsidP="007308C6">
      <w:r>
        <w:t>- Confidence: 5% (0.05)</w:t>
      </w:r>
    </w:p>
    <w:p w14:paraId="60CC2B97" w14:textId="4BCA9A1A" w:rsidR="007308C6" w:rsidRDefault="007308C6" w:rsidP="007308C6">
      <w:r>
        <w:t xml:space="preserve">  - This ensures a meaningful association without requiring a very high likelihood.</w:t>
      </w:r>
    </w:p>
    <w:p w14:paraId="13B1307A" w14:textId="75FF8F71" w:rsidR="007308C6" w:rsidRPr="00B079F8" w:rsidRDefault="007308C6" w:rsidP="007308C6">
      <w:pPr>
        <w:rPr>
          <w:b/>
        </w:rPr>
      </w:pPr>
      <w:r w:rsidRPr="00B079F8">
        <w:rPr>
          <w:b/>
        </w:rPr>
        <w:t>Example Rule:</w:t>
      </w:r>
    </w:p>
    <w:p w14:paraId="0F9D6C06" w14:textId="5308C6C0" w:rsidR="007308C6" w:rsidRDefault="007308C6" w:rsidP="007308C6">
      <w:r>
        <w:t>- Antecedent (If): High Humidity</w:t>
      </w:r>
    </w:p>
    <w:p w14:paraId="050B09B9" w14:textId="3686ADD7" w:rsidR="007308C6" w:rsidRDefault="007308C6" w:rsidP="007308C6">
      <w:r>
        <w:t>- Consequent (Then): Arthritis Flare-up</w:t>
      </w:r>
    </w:p>
    <w:p w14:paraId="1380A732" w14:textId="37B87714" w:rsidR="007308C6" w:rsidRDefault="007308C6" w:rsidP="007308C6">
      <w:r w:rsidRPr="00B079F8">
        <w:rPr>
          <w:b/>
        </w:rPr>
        <w:t>Metrics</w:t>
      </w:r>
      <w:r>
        <w:t>:</w:t>
      </w:r>
    </w:p>
    <w:p w14:paraId="499AEA5A" w14:textId="02BB1D07" w:rsidR="007308C6" w:rsidRDefault="007308C6" w:rsidP="007308C6">
      <w:r>
        <w:t xml:space="preserve">- </w:t>
      </w:r>
      <w:r w:rsidRPr="00B079F8">
        <w:rPr>
          <w:b/>
        </w:rPr>
        <w:t>Support</w:t>
      </w:r>
      <w:r>
        <w:t>: 1.2% (0.012)</w:t>
      </w:r>
    </w:p>
    <w:p w14:paraId="571D5995" w14:textId="77777777" w:rsidR="007308C6" w:rsidRDefault="007308C6" w:rsidP="007308C6">
      <w:r>
        <w:t xml:space="preserve">  - 1.2% of the dataset reports arthritis flare-ups during high humidity.</w:t>
      </w:r>
    </w:p>
    <w:p w14:paraId="1C028FA2" w14:textId="6C223A19" w:rsidR="007308C6" w:rsidRDefault="007308C6" w:rsidP="007308C6">
      <w:r>
        <w:t xml:space="preserve">- </w:t>
      </w:r>
      <w:r w:rsidRPr="00B079F8">
        <w:rPr>
          <w:b/>
        </w:rPr>
        <w:t>Confidence</w:t>
      </w:r>
      <w:r>
        <w:t>: 8.00% (0.08)</w:t>
      </w:r>
    </w:p>
    <w:p w14:paraId="294CFFE9" w14:textId="77777777" w:rsidR="007308C6" w:rsidRDefault="007308C6" w:rsidP="007308C6">
      <w:r>
        <w:lastRenderedPageBreak/>
        <w:t xml:space="preserve">  - 8% of high humidity reports are associated with arthritis flare-ups.</w:t>
      </w:r>
    </w:p>
    <w:p w14:paraId="0A02611E" w14:textId="0F30BB11" w:rsidR="007308C6" w:rsidRDefault="007308C6" w:rsidP="007308C6">
      <w:r>
        <w:t xml:space="preserve">- </w:t>
      </w:r>
      <w:r w:rsidRPr="00B079F8">
        <w:rPr>
          <w:b/>
        </w:rPr>
        <w:t>Lift</w:t>
      </w:r>
      <w:r>
        <w:t>: 2.0</w:t>
      </w:r>
    </w:p>
    <w:p w14:paraId="7C413086" w14:textId="67C7D523" w:rsidR="007308C6" w:rsidRDefault="007308C6" w:rsidP="007308C6">
      <w:r>
        <w:t xml:space="preserve">  - Arthritis flare-ups are twice as likely during high humidity compared to random chance.</w:t>
      </w:r>
    </w:p>
    <w:p w14:paraId="5E062CA4" w14:textId="14C450B4" w:rsidR="007308C6" w:rsidRDefault="007308C6" w:rsidP="007308C6">
      <w:r>
        <w:t xml:space="preserve">3. </w:t>
      </w:r>
      <w:r w:rsidRPr="00B079F8">
        <w:rPr>
          <w:b/>
        </w:rPr>
        <w:t>Food and Conditions</w:t>
      </w:r>
    </w:p>
    <w:p w14:paraId="2DEB7BB3" w14:textId="4380F7B0" w:rsidR="007308C6" w:rsidRPr="00B079F8" w:rsidRDefault="007308C6" w:rsidP="007308C6">
      <w:pPr>
        <w:rPr>
          <w:b/>
        </w:rPr>
      </w:pPr>
      <w:r w:rsidRPr="00B079F8">
        <w:rPr>
          <w:b/>
        </w:rPr>
        <w:t>Support and Confidence Levels:</w:t>
      </w:r>
    </w:p>
    <w:p w14:paraId="3DF55FFD" w14:textId="2A6D0044" w:rsidR="007308C6" w:rsidRDefault="007308C6" w:rsidP="007308C6">
      <w:r>
        <w:t xml:space="preserve">- </w:t>
      </w:r>
      <w:r w:rsidRPr="00B079F8">
        <w:rPr>
          <w:b/>
        </w:rPr>
        <w:t>Support</w:t>
      </w:r>
      <w:r>
        <w:t>: 0.5% (0.005)</w:t>
      </w:r>
    </w:p>
    <w:p w14:paraId="09703E36" w14:textId="77777777" w:rsidR="007308C6" w:rsidRDefault="007308C6" w:rsidP="007308C6">
      <w:r>
        <w:t xml:space="preserve">  - To capture less frequent but potentially significant food-condition associations.</w:t>
      </w:r>
    </w:p>
    <w:p w14:paraId="320F542B" w14:textId="02B8A7E5" w:rsidR="007308C6" w:rsidRDefault="007308C6" w:rsidP="007308C6">
      <w:r>
        <w:t xml:space="preserve">- </w:t>
      </w:r>
      <w:r w:rsidRPr="00B079F8">
        <w:rPr>
          <w:b/>
        </w:rPr>
        <w:t>Confidence</w:t>
      </w:r>
      <w:r>
        <w:t>: 5% (0.05)</w:t>
      </w:r>
    </w:p>
    <w:p w14:paraId="14E8E63D" w14:textId="4A58B779" w:rsidR="007308C6" w:rsidRDefault="007308C6" w:rsidP="007308C6">
      <w:r>
        <w:t xml:space="preserve">  - Ensuring that the association is meaningful but not overly stringent.</w:t>
      </w:r>
    </w:p>
    <w:p w14:paraId="45D56962" w14:textId="178F7CAD" w:rsidR="007308C6" w:rsidRPr="00B079F8" w:rsidRDefault="007308C6" w:rsidP="007308C6">
      <w:pPr>
        <w:rPr>
          <w:b/>
        </w:rPr>
      </w:pPr>
      <w:r w:rsidRPr="00B079F8">
        <w:rPr>
          <w:b/>
        </w:rPr>
        <w:t>Example Rule:</w:t>
      </w:r>
    </w:p>
    <w:p w14:paraId="2738A96C" w14:textId="3B04D3B1" w:rsidR="007308C6" w:rsidRDefault="007308C6" w:rsidP="007308C6">
      <w:r>
        <w:t>- Antecedent (If): Spicy Food</w:t>
      </w:r>
    </w:p>
    <w:p w14:paraId="790039EB" w14:textId="48836BA2" w:rsidR="007308C6" w:rsidRDefault="007308C6" w:rsidP="007308C6">
      <w:r>
        <w:t>- Consequent (Then): Gastric Issues</w:t>
      </w:r>
    </w:p>
    <w:p w14:paraId="18BAEE39" w14:textId="4F658B58" w:rsidR="007308C6" w:rsidRDefault="007308C6" w:rsidP="007308C6">
      <w:r w:rsidRPr="00B079F8">
        <w:rPr>
          <w:b/>
        </w:rPr>
        <w:t>Metrics</w:t>
      </w:r>
      <w:r>
        <w:t>:</w:t>
      </w:r>
    </w:p>
    <w:p w14:paraId="5651D24E" w14:textId="45E8689F" w:rsidR="007308C6" w:rsidRDefault="007308C6" w:rsidP="007308C6">
      <w:r>
        <w:t xml:space="preserve">- </w:t>
      </w:r>
      <w:r w:rsidRPr="00B079F8">
        <w:rPr>
          <w:b/>
        </w:rPr>
        <w:t>Support</w:t>
      </w:r>
      <w:r>
        <w:t>: 0.75% (0.0075)</w:t>
      </w:r>
    </w:p>
    <w:p w14:paraId="1BFDCCC2" w14:textId="77777777" w:rsidR="007308C6" w:rsidRDefault="007308C6" w:rsidP="007308C6">
      <w:r>
        <w:t xml:space="preserve">  - 0.75% of the dataset indicates gastric issues after consuming spicy food.</w:t>
      </w:r>
    </w:p>
    <w:p w14:paraId="72A500D2" w14:textId="3707E28C" w:rsidR="007308C6" w:rsidRDefault="007308C6" w:rsidP="007308C6">
      <w:r>
        <w:t xml:space="preserve">- </w:t>
      </w:r>
      <w:r w:rsidRPr="00B079F8">
        <w:rPr>
          <w:b/>
        </w:rPr>
        <w:t>Confidence</w:t>
      </w:r>
      <w:r>
        <w:t>: 12.00% (0.12)</w:t>
      </w:r>
    </w:p>
    <w:p w14:paraId="3F1D6A08" w14:textId="77777777" w:rsidR="007308C6" w:rsidRDefault="007308C6" w:rsidP="007308C6">
      <w:r>
        <w:t xml:space="preserve">  - 12% of spicy food reports are associated with gastric issues.</w:t>
      </w:r>
    </w:p>
    <w:p w14:paraId="6679848E" w14:textId="0E237686" w:rsidR="007308C6" w:rsidRDefault="007308C6" w:rsidP="007308C6">
      <w:r>
        <w:t xml:space="preserve">- </w:t>
      </w:r>
      <w:r w:rsidRPr="00B079F8">
        <w:rPr>
          <w:b/>
        </w:rPr>
        <w:t>Lift</w:t>
      </w:r>
      <w:r>
        <w:t>: 1.8</w:t>
      </w:r>
    </w:p>
    <w:p w14:paraId="2FC162B6" w14:textId="7171CECD" w:rsidR="007308C6" w:rsidRDefault="007308C6" w:rsidP="007308C6">
      <w:r>
        <w:t xml:space="preserve">  - Gastric issues are 1.8 times more likely after consuming spicy food compared to random chance.</w:t>
      </w:r>
    </w:p>
    <w:p w14:paraId="4BEE4773" w14:textId="36178B27" w:rsidR="007308C6" w:rsidRPr="00B079F8" w:rsidRDefault="007308C6" w:rsidP="007308C6">
      <w:pPr>
        <w:rPr>
          <w:b/>
          <w:sz w:val="28"/>
          <w:u w:val="single"/>
        </w:rPr>
      </w:pPr>
      <w:r w:rsidRPr="00B079F8">
        <w:rPr>
          <w:b/>
          <w:sz w:val="28"/>
          <w:u w:val="single"/>
        </w:rPr>
        <w:t xml:space="preserve"> Detailed Evaluation of an Interesting Rule</w:t>
      </w:r>
    </w:p>
    <w:p w14:paraId="0F37D48E" w14:textId="2539A518" w:rsidR="007308C6" w:rsidRDefault="007308C6" w:rsidP="007308C6">
      <w:r>
        <w:t xml:space="preserve">Let's analyze the rule for </w:t>
      </w:r>
      <w:r w:rsidRPr="00B079F8">
        <w:rPr>
          <w:b/>
        </w:rPr>
        <w:t>Ibuprofen and Migraine</w:t>
      </w:r>
      <w:r>
        <w:t xml:space="preserve"> in more detail.</w:t>
      </w:r>
    </w:p>
    <w:p w14:paraId="6BE213E4" w14:textId="77777777" w:rsidR="007308C6" w:rsidRDefault="007308C6" w:rsidP="007308C6"/>
    <w:p w14:paraId="5B21F688" w14:textId="340DE07E" w:rsidR="007308C6" w:rsidRPr="00B079F8" w:rsidRDefault="007308C6" w:rsidP="007308C6">
      <w:pPr>
        <w:rPr>
          <w:b/>
        </w:rPr>
      </w:pPr>
      <w:r w:rsidRPr="00B079F8">
        <w:rPr>
          <w:b/>
        </w:rPr>
        <w:t>Contingency Table:</w:t>
      </w:r>
    </w:p>
    <w:p w14:paraId="0C35D258" w14:textId="448F39C9" w:rsidR="007308C6" w:rsidRDefault="007308C6" w:rsidP="007308C6"/>
    <w:tbl>
      <w:tblPr>
        <w:tblStyle w:val="TableGrid"/>
        <w:tblW w:w="0" w:type="auto"/>
        <w:tblLook w:val="04A0" w:firstRow="1" w:lastRow="0" w:firstColumn="1" w:lastColumn="0" w:noHBand="0" w:noVBand="1"/>
      </w:tblPr>
      <w:tblGrid>
        <w:gridCol w:w="2337"/>
        <w:gridCol w:w="2337"/>
        <w:gridCol w:w="2338"/>
        <w:gridCol w:w="2338"/>
      </w:tblGrid>
      <w:tr w:rsidR="00B079F8" w14:paraId="06F19B8A" w14:textId="77777777" w:rsidTr="007B7B32">
        <w:tc>
          <w:tcPr>
            <w:tcW w:w="2337" w:type="dxa"/>
            <w:shd w:val="clear" w:color="auto" w:fill="BFBFBF" w:themeFill="background1" w:themeFillShade="BF"/>
          </w:tcPr>
          <w:p w14:paraId="2CA38302" w14:textId="77777777" w:rsidR="00B079F8" w:rsidRPr="007B7B32" w:rsidRDefault="00B079F8" w:rsidP="007308C6">
            <w:pPr>
              <w:rPr>
                <w:b/>
              </w:rPr>
            </w:pPr>
          </w:p>
        </w:tc>
        <w:tc>
          <w:tcPr>
            <w:tcW w:w="2337" w:type="dxa"/>
            <w:shd w:val="clear" w:color="auto" w:fill="BFBFBF" w:themeFill="background1" w:themeFillShade="BF"/>
          </w:tcPr>
          <w:p w14:paraId="17E5B494" w14:textId="7E6C20B5" w:rsidR="00B079F8" w:rsidRPr="007B7B32" w:rsidRDefault="00B079F8" w:rsidP="007308C6">
            <w:pPr>
              <w:rPr>
                <w:b/>
              </w:rPr>
            </w:pPr>
            <w:r w:rsidRPr="007B7B32">
              <w:rPr>
                <w:b/>
              </w:rPr>
              <w:t>Migraine</w:t>
            </w:r>
          </w:p>
        </w:tc>
        <w:tc>
          <w:tcPr>
            <w:tcW w:w="2338" w:type="dxa"/>
            <w:shd w:val="clear" w:color="auto" w:fill="BFBFBF" w:themeFill="background1" w:themeFillShade="BF"/>
          </w:tcPr>
          <w:p w14:paraId="624D5BDE" w14:textId="7B6428CD" w:rsidR="00B079F8" w:rsidRPr="007B7B32" w:rsidRDefault="00B079F8" w:rsidP="007308C6">
            <w:pPr>
              <w:rPr>
                <w:b/>
              </w:rPr>
            </w:pPr>
            <w:r w:rsidRPr="007B7B32">
              <w:rPr>
                <w:b/>
              </w:rPr>
              <w:t>No Migraine</w:t>
            </w:r>
          </w:p>
        </w:tc>
        <w:tc>
          <w:tcPr>
            <w:tcW w:w="2338" w:type="dxa"/>
            <w:shd w:val="clear" w:color="auto" w:fill="BFBFBF" w:themeFill="background1" w:themeFillShade="BF"/>
          </w:tcPr>
          <w:p w14:paraId="4CCA4623" w14:textId="0A177851" w:rsidR="00B079F8" w:rsidRPr="007B7B32" w:rsidRDefault="00B079F8" w:rsidP="007308C6">
            <w:pPr>
              <w:rPr>
                <w:b/>
              </w:rPr>
            </w:pPr>
            <w:r w:rsidRPr="007B7B32">
              <w:rPr>
                <w:b/>
              </w:rPr>
              <w:t xml:space="preserve">Total    </w:t>
            </w:r>
          </w:p>
        </w:tc>
      </w:tr>
      <w:tr w:rsidR="00B079F8" w14:paraId="4A696629" w14:textId="77777777" w:rsidTr="00B079F8">
        <w:tc>
          <w:tcPr>
            <w:tcW w:w="2337" w:type="dxa"/>
          </w:tcPr>
          <w:p w14:paraId="7DE8A30B" w14:textId="68E732F8" w:rsidR="00B079F8" w:rsidRDefault="00B079F8" w:rsidP="007308C6">
            <w:r>
              <w:t>Ibuprofen</w:t>
            </w:r>
          </w:p>
        </w:tc>
        <w:tc>
          <w:tcPr>
            <w:tcW w:w="2337" w:type="dxa"/>
          </w:tcPr>
          <w:p w14:paraId="60C3D9C0" w14:textId="75679897" w:rsidR="00B079F8" w:rsidRDefault="00B079F8" w:rsidP="007308C6">
            <w:r>
              <w:t xml:space="preserve">2.57%    </w:t>
            </w:r>
          </w:p>
        </w:tc>
        <w:tc>
          <w:tcPr>
            <w:tcW w:w="2338" w:type="dxa"/>
          </w:tcPr>
          <w:p w14:paraId="54858539" w14:textId="6F8264FF" w:rsidR="00B079F8" w:rsidRDefault="00B079F8" w:rsidP="007308C6">
            <w:r>
              <w:t xml:space="preserve">13.43%      </w:t>
            </w:r>
          </w:p>
        </w:tc>
        <w:tc>
          <w:tcPr>
            <w:tcW w:w="2338" w:type="dxa"/>
          </w:tcPr>
          <w:p w14:paraId="2154B9D2" w14:textId="3AA8D43C" w:rsidR="00B079F8" w:rsidRDefault="00B079F8" w:rsidP="007308C6">
            <w:r>
              <w:t xml:space="preserve">16.00%   </w:t>
            </w:r>
          </w:p>
        </w:tc>
      </w:tr>
      <w:tr w:rsidR="00B079F8" w14:paraId="09F54BCD" w14:textId="77777777" w:rsidTr="00B079F8">
        <w:tc>
          <w:tcPr>
            <w:tcW w:w="2337" w:type="dxa"/>
          </w:tcPr>
          <w:p w14:paraId="48810790" w14:textId="7885FDCA" w:rsidR="00B079F8" w:rsidRDefault="00B079F8" w:rsidP="007308C6">
            <w:r>
              <w:t>No Ibuprofen</w:t>
            </w:r>
          </w:p>
        </w:tc>
        <w:tc>
          <w:tcPr>
            <w:tcW w:w="2337" w:type="dxa"/>
          </w:tcPr>
          <w:p w14:paraId="190C02E5" w14:textId="22C99416" w:rsidR="00B079F8" w:rsidRDefault="00B079F8" w:rsidP="007308C6">
            <w:r>
              <w:t xml:space="preserve">12.43%   </w:t>
            </w:r>
          </w:p>
        </w:tc>
        <w:tc>
          <w:tcPr>
            <w:tcW w:w="2338" w:type="dxa"/>
          </w:tcPr>
          <w:p w14:paraId="7CD7CE06" w14:textId="4CF3EB1B" w:rsidR="00B079F8" w:rsidRDefault="00B079F8" w:rsidP="007308C6">
            <w:r>
              <w:t xml:space="preserve">71.57%      </w:t>
            </w:r>
          </w:p>
        </w:tc>
        <w:tc>
          <w:tcPr>
            <w:tcW w:w="2338" w:type="dxa"/>
          </w:tcPr>
          <w:p w14:paraId="7E07BD47" w14:textId="637F283A" w:rsidR="00B079F8" w:rsidRDefault="00B079F8" w:rsidP="007308C6">
            <w:r>
              <w:t xml:space="preserve">84.00%   </w:t>
            </w:r>
          </w:p>
        </w:tc>
      </w:tr>
      <w:tr w:rsidR="00B079F8" w14:paraId="4E8E29F2" w14:textId="77777777" w:rsidTr="00B079F8">
        <w:tc>
          <w:tcPr>
            <w:tcW w:w="2337" w:type="dxa"/>
          </w:tcPr>
          <w:p w14:paraId="2269A674" w14:textId="6B8C43DA" w:rsidR="00B079F8" w:rsidRDefault="00B079F8" w:rsidP="007308C6">
            <w:r>
              <w:t>Total</w:t>
            </w:r>
          </w:p>
        </w:tc>
        <w:tc>
          <w:tcPr>
            <w:tcW w:w="2337" w:type="dxa"/>
          </w:tcPr>
          <w:p w14:paraId="4A2385B5" w14:textId="31A8CEE3" w:rsidR="00B079F8" w:rsidRDefault="00B079F8" w:rsidP="007308C6">
            <w:r>
              <w:t xml:space="preserve">15.00%   </w:t>
            </w:r>
          </w:p>
        </w:tc>
        <w:tc>
          <w:tcPr>
            <w:tcW w:w="2338" w:type="dxa"/>
          </w:tcPr>
          <w:p w14:paraId="4FCD5B3A" w14:textId="57DEB1DF" w:rsidR="00B079F8" w:rsidRDefault="00B079F8" w:rsidP="007308C6">
            <w:r>
              <w:t xml:space="preserve">85.00%      </w:t>
            </w:r>
          </w:p>
        </w:tc>
        <w:tc>
          <w:tcPr>
            <w:tcW w:w="2338" w:type="dxa"/>
          </w:tcPr>
          <w:p w14:paraId="14319E2F" w14:textId="1524CEAE" w:rsidR="00B079F8" w:rsidRDefault="00B079F8" w:rsidP="007308C6">
            <w:r>
              <w:t xml:space="preserve">100.00%  </w:t>
            </w:r>
          </w:p>
        </w:tc>
      </w:tr>
    </w:tbl>
    <w:p w14:paraId="07D33949" w14:textId="26A96B1F" w:rsidR="007308C6" w:rsidRDefault="007308C6" w:rsidP="007308C6"/>
    <w:p w14:paraId="4C7F5EA0" w14:textId="77777777" w:rsidR="007B7B32" w:rsidRDefault="007B7B32" w:rsidP="007308C6"/>
    <w:p w14:paraId="4D496BA7" w14:textId="60778921" w:rsidR="007308C6" w:rsidRDefault="007308C6" w:rsidP="007308C6">
      <w:r w:rsidRPr="00B079F8">
        <w:rPr>
          <w:b/>
        </w:rPr>
        <w:lastRenderedPageBreak/>
        <w:t>Metrics</w:t>
      </w:r>
      <w:r>
        <w:t>:</w:t>
      </w:r>
    </w:p>
    <w:p w14:paraId="14B3C01C" w14:textId="46E324A7" w:rsidR="007308C6" w:rsidRDefault="007308C6" w:rsidP="007308C6">
      <w:r>
        <w:t xml:space="preserve">- </w:t>
      </w:r>
      <w:r w:rsidRPr="00B079F8">
        <w:rPr>
          <w:b/>
        </w:rPr>
        <w:t>Support</w:t>
      </w:r>
      <w:r>
        <w:t>: 2.57% (0.0257)</w:t>
      </w:r>
    </w:p>
    <w:p w14:paraId="4EDDAEDD" w14:textId="446DCDC2" w:rsidR="007308C6" w:rsidRDefault="007308C6" w:rsidP="007308C6">
      <w:r>
        <w:t xml:space="preserve">- </w:t>
      </w:r>
      <w:r w:rsidRPr="00B079F8">
        <w:rPr>
          <w:b/>
        </w:rPr>
        <w:t>Confidence</w:t>
      </w:r>
      <w:r>
        <w:t>: 15.00% (0.15)</w:t>
      </w:r>
    </w:p>
    <w:p w14:paraId="298A3312" w14:textId="796A55E2" w:rsidR="007308C6" w:rsidRDefault="007308C6" w:rsidP="007308C6">
      <w:r>
        <w:t xml:space="preserve">- </w:t>
      </w:r>
      <w:r w:rsidRPr="00B079F8">
        <w:rPr>
          <w:b/>
        </w:rPr>
        <w:t>Lift</w:t>
      </w:r>
      <w:r>
        <w:t>: 1.5</w:t>
      </w:r>
    </w:p>
    <w:p w14:paraId="35D60AC3" w14:textId="7480B731" w:rsidR="007308C6" w:rsidRDefault="007308C6" w:rsidP="007308C6">
      <w:r>
        <w:t xml:space="preserve">- </w:t>
      </w:r>
      <w:proofErr w:type="spellStart"/>
      <w:r w:rsidRPr="00B079F8">
        <w:rPr>
          <w:b/>
        </w:rPr>
        <w:t>Kulczynski</w:t>
      </w:r>
      <w:proofErr w:type="spellEnd"/>
      <w:r w:rsidRPr="00B079F8">
        <w:rPr>
          <w:b/>
        </w:rPr>
        <w:t xml:space="preserve"> Coefficient:</w:t>
      </w:r>
      <w:r>
        <w:t xml:space="preserve"> 0.33</w:t>
      </w:r>
    </w:p>
    <w:p w14:paraId="6F67B0C8" w14:textId="77777777" w:rsidR="007308C6" w:rsidRDefault="007308C6" w:rsidP="007308C6">
      <w:r>
        <w:t xml:space="preserve">  - The average of the confidence of the rule and its reverse.</w:t>
      </w:r>
    </w:p>
    <w:p w14:paraId="77F5CF9B" w14:textId="11F4D575" w:rsidR="007308C6" w:rsidRDefault="007308C6" w:rsidP="007308C6">
      <w:r>
        <w:t xml:space="preserve">- </w:t>
      </w:r>
      <w:r w:rsidRPr="00B079F8">
        <w:rPr>
          <w:b/>
        </w:rPr>
        <w:t>Imbalance Ratio:</w:t>
      </w:r>
      <w:r>
        <w:t xml:space="preserve"> 0.5</w:t>
      </w:r>
    </w:p>
    <w:p w14:paraId="704B2845" w14:textId="40423A99" w:rsidR="007308C6" w:rsidRDefault="007308C6" w:rsidP="007308C6">
      <w:r>
        <w:t xml:space="preserve">  - Indicates how imbalanced the distribution of the antecedent and consequent is.</w:t>
      </w:r>
    </w:p>
    <w:p w14:paraId="0E54C738" w14:textId="2A1117C9" w:rsidR="007308C6" w:rsidRDefault="007308C6" w:rsidP="007308C6">
      <w:r w:rsidRPr="00B079F8">
        <w:rPr>
          <w:b/>
        </w:rPr>
        <w:t>Justification</w:t>
      </w:r>
      <w:r>
        <w:t>:</w:t>
      </w:r>
    </w:p>
    <w:p w14:paraId="656B7566" w14:textId="74E9477C" w:rsidR="007308C6" w:rsidRPr="00B079F8" w:rsidRDefault="007308C6" w:rsidP="007308C6">
      <w:pPr>
        <w:rPr>
          <w:b/>
        </w:rPr>
      </w:pPr>
      <w:r w:rsidRPr="00B079F8">
        <w:rPr>
          <w:b/>
        </w:rPr>
        <w:t xml:space="preserve">- Support and Confidence Levels: </w:t>
      </w:r>
    </w:p>
    <w:p w14:paraId="6683C3E3" w14:textId="77777777" w:rsidR="007308C6" w:rsidRDefault="007308C6" w:rsidP="007308C6">
      <w:r>
        <w:t xml:space="preserve">  - These levels were chosen to balance finding significant, interesting rules without overwhelming noise from rare associations.</w:t>
      </w:r>
    </w:p>
    <w:p w14:paraId="67FEC2A4" w14:textId="77777777" w:rsidR="007308C6" w:rsidRDefault="007308C6" w:rsidP="007308C6">
      <w:r>
        <w:t xml:space="preserve">  - A support of 1% ensures relevance across a substantial portion of the dataset.</w:t>
      </w:r>
    </w:p>
    <w:p w14:paraId="337DEBFD" w14:textId="77777777" w:rsidR="007308C6" w:rsidRDefault="007308C6" w:rsidP="007308C6">
      <w:r>
        <w:t xml:space="preserve">  - A confidence of 10% ensures the rule is meaningful without being too restrictive.</w:t>
      </w:r>
    </w:p>
    <w:p w14:paraId="00D31DA9" w14:textId="77777777" w:rsidR="007308C6" w:rsidRDefault="007308C6" w:rsidP="007308C6"/>
    <w:p w14:paraId="3E257A37" w14:textId="77777777" w:rsidR="007308C6" w:rsidRPr="00C17B1D" w:rsidRDefault="007308C6" w:rsidP="007308C6">
      <w:pPr>
        <w:rPr>
          <w:b/>
        </w:rPr>
      </w:pPr>
      <w:r w:rsidRPr="00C17B1D">
        <w:rPr>
          <w:b/>
        </w:rPr>
        <w:t>This rule is interesting because it shows a moderate association between taking ibuprofen and experiencing migraines, suggesting a possible common usage pattern or a relationship worth investigating further.</w:t>
      </w:r>
    </w:p>
    <w:p w14:paraId="3ECE750F" w14:textId="77777777" w:rsidR="007308C6" w:rsidRDefault="007308C6" w:rsidP="007308C6"/>
    <w:p w14:paraId="151471E7" w14:textId="708FDA97" w:rsidR="007308C6" w:rsidRPr="007308C6" w:rsidRDefault="007308C6" w:rsidP="007308C6"/>
    <w:sectPr w:rsidR="007308C6" w:rsidRPr="0073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46"/>
    <w:rsid w:val="000D38D6"/>
    <w:rsid w:val="00557874"/>
    <w:rsid w:val="007308C6"/>
    <w:rsid w:val="0074046B"/>
    <w:rsid w:val="007B7B32"/>
    <w:rsid w:val="00B079F8"/>
    <w:rsid w:val="00B241D1"/>
    <w:rsid w:val="00C17B1D"/>
    <w:rsid w:val="00CB4B83"/>
    <w:rsid w:val="00CF2B0A"/>
    <w:rsid w:val="00D62846"/>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FA10"/>
  <w15:chartTrackingRefBased/>
  <w15:docId w15:val="{ECB7FE2C-8197-44DC-87CD-5EDCDC2F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24818">
      <w:bodyDiv w:val="1"/>
      <w:marLeft w:val="0"/>
      <w:marRight w:val="0"/>
      <w:marTop w:val="0"/>
      <w:marBottom w:val="0"/>
      <w:divBdr>
        <w:top w:val="none" w:sz="0" w:space="0" w:color="auto"/>
        <w:left w:val="none" w:sz="0" w:space="0" w:color="auto"/>
        <w:bottom w:val="none" w:sz="0" w:space="0" w:color="auto"/>
        <w:right w:val="none" w:sz="0" w:space="0" w:color="auto"/>
      </w:divBdr>
    </w:div>
    <w:div w:id="294724014">
      <w:bodyDiv w:val="1"/>
      <w:marLeft w:val="0"/>
      <w:marRight w:val="0"/>
      <w:marTop w:val="0"/>
      <w:marBottom w:val="0"/>
      <w:divBdr>
        <w:top w:val="none" w:sz="0" w:space="0" w:color="auto"/>
        <w:left w:val="none" w:sz="0" w:space="0" w:color="auto"/>
        <w:bottom w:val="none" w:sz="0" w:space="0" w:color="auto"/>
        <w:right w:val="none" w:sz="0" w:space="0" w:color="auto"/>
      </w:divBdr>
    </w:div>
    <w:div w:id="547187372">
      <w:bodyDiv w:val="1"/>
      <w:marLeft w:val="0"/>
      <w:marRight w:val="0"/>
      <w:marTop w:val="0"/>
      <w:marBottom w:val="0"/>
      <w:divBdr>
        <w:top w:val="none" w:sz="0" w:space="0" w:color="auto"/>
        <w:left w:val="none" w:sz="0" w:space="0" w:color="auto"/>
        <w:bottom w:val="none" w:sz="0" w:space="0" w:color="auto"/>
        <w:right w:val="none" w:sz="0" w:space="0" w:color="auto"/>
      </w:divBdr>
    </w:div>
    <w:div w:id="653532093">
      <w:bodyDiv w:val="1"/>
      <w:marLeft w:val="0"/>
      <w:marRight w:val="0"/>
      <w:marTop w:val="0"/>
      <w:marBottom w:val="0"/>
      <w:divBdr>
        <w:top w:val="none" w:sz="0" w:space="0" w:color="auto"/>
        <w:left w:val="none" w:sz="0" w:space="0" w:color="auto"/>
        <w:bottom w:val="none" w:sz="0" w:space="0" w:color="auto"/>
        <w:right w:val="none" w:sz="0" w:space="0" w:color="auto"/>
      </w:divBdr>
    </w:div>
    <w:div w:id="825049541">
      <w:bodyDiv w:val="1"/>
      <w:marLeft w:val="0"/>
      <w:marRight w:val="0"/>
      <w:marTop w:val="0"/>
      <w:marBottom w:val="0"/>
      <w:divBdr>
        <w:top w:val="none" w:sz="0" w:space="0" w:color="auto"/>
        <w:left w:val="none" w:sz="0" w:space="0" w:color="auto"/>
        <w:bottom w:val="none" w:sz="0" w:space="0" w:color="auto"/>
        <w:right w:val="none" w:sz="0" w:space="0" w:color="auto"/>
      </w:divBdr>
    </w:div>
    <w:div w:id="884489949">
      <w:bodyDiv w:val="1"/>
      <w:marLeft w:val="0"/>
      <w:marRight w:val="0"/>
      <w:marTop w:val="0"/>
      <w:marBottom w:val="0"/>
      <w:divBdr>
        <w:top w:val="none" w:sz="0" w:space="0" w:color="auto"/>
        <w:left w:val="none" w:sz="0" w:space="0" w:color="auto"/>
        <w:bottom w:val="none" w:sz="0" w:space="0" w:color="auto"/>
        <w:right w:val="none" w:sz="0" w:space="0" w:color="auto"/>
      </w:divBdr>
    </w:div>
    <w:div w:id="1162546661">
      <w:bodyDiv w:val="1"/>
      <w:marLeft w:val="0"/>
      <w:marRight w:val="0"/>
      <w:marTop w:val="0"/>
      <w:marBottom w:val="0"/>
      <w:divBdr>
        <w:top w:val="none" w:sz="0" w:space="0" w:color="auto"/>
        <w:left w:val="none" w:sz="0" w:space="0" w:color="auto"/>
        <w:bottom w:val="none" w:sz="0" w:space="0" w:color="auto"/>
        <w:right w:val="none" w:sz="0" w:space="0" w:color="auto"/>
      </w:divBdr>
    </w:div>
    <w:div w:id="1212382240">
      <w:bodyDiv w:val="1"/>
      <w:marLeft w:val="0"/>
      <w:marRight w:val="0"/>
      <w:marTop w:val="0"/>
      <w:marBottom w:val="0"/>
      <w:divBdr>
        <w:top w:val="none" w:sz="0" w:space="0" w:color="auto"/>
        <w:left w:val="none" w:sz="0" w:space="0" w:color="auto"/>
        <w:bottom w:val="none" w:sz="0" w:space="0" w:color="auto"/>
        <w:right w:val="none" w:sz="0" w:space="0" w:color="auto"/>
      </w:divBdr>
    </w:div>
    <w:div w:id="1368750120">
      <w:bodyDiv w:val="1"/>
      <w:marLeft w:val="0"/>
      <w:marRight w:val="0"/>
      <w:marTop w:val="0"/>
      <w:marBottom w:val="0"/>
      <w:divBdr>
        <w:top w:val="none" w:sz="0" w:space="0" w:color="auto"/>
        <w:left w:val="none" w:sz="0" w:space="0" w:color="auto"/>
        <w:bottom w:val="none" w:sz="0" w:space="0" w:color="auto"/>
        <w:right w:val="none" w:sz="0" w:space="0" w:color="auto"/>
      </w:divBdr>
    </w:div>
    <w:div w:id="1672176281">
      <w:bodyDiv w:val="1"/>
      <w:marLeft w:val="0"/>
      <w:marRight w:val="0"/>
      <w:marTop w:val="0"/>
      <w:marBottom w:val="0"/>
      <w:divBdr>
        <w:top w:val="none" w:sz="0" w:space="0" w:color="auto"/>
        <w:left w:val="none" w:sz="0" w:space="0" w:color="auto"/>
        <w:bottom w:val="none" w:sz="0" w:space="0" w:color="auto"/>
        <w:right w:val="none" w:sz="0" w:space="0" w:color="auto"/>
      </w:divBdr>
    </w:div>
    <w:div w:id="1817070197">
      <w:bodyDiv w:val="1"/>
      <w:marLeft w:val="0"/>
      <w:marRight w:val="0"/>
      <w:marTop w:val="0"/>
      <w:marBottom w:val="0"/>
      <w:divBdr>
        <w:top w:val="none" w:sz="0" w:space="0" w:color="auto"/>
        <w:left w:val="none" w:sz="0" w:space="0" w:color="auto"/>
        <w:bottom w:val="none" w:sz="0" w:space="0" w:color="auto"/>
        <w:right w:val="none" w:sz="0" w:space="0" w:color="auto"/>
      </w:divBdr>
    </w:div>
    <w:div w:id="1858305785">
      <w:bodyDiv w:val="1"/>
      <w:marLeft w:val="0"/>
      <w:marRight w:val="0"/>
      <w:marTop w:val="0"/>
      <w:marBottom w:val="0"/>
      <w:divBdr>
        <w:top w:val="none" w:sz="0" w:space="0" w:color="auto"/>
        <w:left w:val="none" w:sz="0" w:space="0" w:color="auto"/>
        <w:bottom w:val="none" w:sz="0" w:space="0" w:color="auto"/>
        <w:right w:val="none" w:sz="0" w:space="0" w:color="auto"/>
      </w:divBdr>
    </w:div>
    <w:div w:id="18624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2024-05-20T17:43:00Z</dcterms:created>
  <dcterms:modified xsi:type="dcterms:W3CDTF">2024-05-20T19:16:00Z</dcterms:modified>
</cp:coreProperties>
</file>