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ANALYSTLAB AFRICA</w:t>
      </w:r>
    </w:p>
    <w:p>
      <w:pPr>
        <w:spacing w:after="200"/>
      </w:pPr>
      <w:r>
        <w:t xml:space="preserve">Data Analytics Internship Programme — Week 2</w:t>
      </w:r>
    </w:p>
    <w:p>
      <w:pPr>
        <w:spacing w:after="300"/>
      </w:pPr>
      <w:r>
        <w:rPr>
          <w:b/>
          <w:bCs/>
        </w:rPr>
        <w:t xml:space="preserve">Business Insights and Recommendations</w:t>
      </w:r>
    </w:p>
    <w:p>
      <w:pPr>
        <w:pStyle w:val="Heading1"/>
        <w:spacing w:after="150" w:before="300"/>
      </w:pPr>
      <w:r>
        <w:t xml:space="preserve">Part 4a — Five Key Business Insights</w:t>
      </w:r>
    </w:p>
    <w:p>
      <w:pPr>
        <w:spacing w:after="80" w:before="200"/>
      </w:pPr>
      <w:r>
        <w:rPr>
          <w:b/>
          <w:bCs/>
        </w:rPr>
        <w:t xml:space="preserve">1. Tables is the only unprofitable sub category.</w:t>
      </w:r>
    </w:p>
    <w:p>
      <w:pPr>
        <w:spacing w:after="200"/>
      </w:pPr>
      <w:r>
        <w:t xml:space="preserve">Tables generated $757K in sales but lost $64,083 in profit, the single negative bar across all 17 sub categories. Every other sub category, even the weakest performers (Fasteners, Labels), stays above zero.</w:t>
      </w:r>
    </w:p>
    <w:p>
      <w:pPr>
        <w:spacing w:after="200"/>
      </w:pPr>
      <w:r>
        <w:rPr>
          <w:i/>
          <w:iCs/>
        </w:rPr>
        <w:t xml:space="preserve">Evidence: Sub Category profit column chart.</w:t>
      </w:r>
    </w:p>
    <w:p>
      <w:pPr>
        <w:spacing w:after="80" w:before="200"/>
      </w:pPr>
      <w:r>
        <w:rPr>
          <w:b/>
          <w:bCs/>
        </w:rPr>
        <w:t xml:space="preserve">2. Technology outperforms on margin, not just volume.</w:t>
      </w:r>
    </w:p>
    <w:p>
      <w:pPr>
        <w:spacing w:after="200"/>
      </w:pPr>
      <w:r>
        <w:t xml:space="preserve">Technology leads all categories in sales ($4.74M) and carries the strongest margin (about 14% profit to sales), while Furniture, despite $4.11M in sales, converts at roughly half that margin (about 7%).</w:t>
      </w:r>
    </w:p>
    <w:p>
      <w:pPr>
        <w:spacing w:after="200"/>
      </w:pPr>
      <w:r>
        <w:rPr>
          <w:i/>
          <w:iCs/>
        </w:rPr>
        <w:t xml:space="preserve">Evidence: Category column chart; KPI cards.</w:t>
      </w:r>
    </w:p>
    <w:p>
      <w:pPr>
        <w:spacing w:after="80" w:before="200"/>
      </w:pPr>
      <w:r>
        <w:rPr>
          <w:b/>
          <w:bCs/>
        </w:rPr>
        <w:t xml:space="preserve">3. Southeast Asia has a serious volume to margin mismatch.</w:t>
      </w:r>
    </w:p>
    <w:p>
      <w:pPr>
        <w:spacing w:after="200"/>
      </w:pPr>
      <w:r>
        <w:t xml:space="preserve">Southeast Asia posts respectable sales ($884K) but profit of just about $17.8K, a margin near 2%, far below every other region. High sales here are not translating into comparable profit.</w:t>
      </w:r>
    </w:p>
    <w:p>
      <w:pPr>
        <w:spacing w:after="200"/>
      </w:pPr>
      <w:r>
        <w:rPr>
          <w:i/>
          <w:iCs/>
        </w:rPr>
        <w:t xml:space="preserve">Evidence: Region bar chart; Matrix table.</w:t>
      </w:r>
    </w:p>
    <w:p>
      <w:pPr>
        <w:spacing w:after="80" w:before="200"/>
      </w:pPr>
      <w:r>
        <w:rPr>
          <w:b/>
          <w:bCs/>
        </w:rPr>
        <w:t xml:space="preserve">4. Consumer segment is the primary revenue driver, with no proportional risk.</w:t>
      </w:r>
    </w:p>
    <w:p>
      <w:pPr>
        <w:spacing w:after="200"/>
      </w:pPr>
      <w:r>
        <w:t xml:space="preserve">Consumer contributes $6.5M in sales and $749K in profit, the largest of all three segments. Unlike some product level findings, no segment shows a profit red flag.</w:t>
      </w:r>
    </w:p>
    <w:p>
      <w:pPr>
        <w:spacing w:after="200"/>
      </w:pPr>
      <w:r>
        <w:rPr>
          <w:i/>
          <w:iCs/>
        </w:rPr>
        <w:t xml:space="preserve">Evidence: Segment bar chart.</w:t>
      </w:r>
    </w:p>
    <w:p>
      <w:pPr>
        <w:spacing w:after="80" w:before="200"/>
      </w:pPr>
      <w:r>
        <w:rPr>
          <w:b/>
          <w:bCs/>
        </w:rPr>
        <w:t xml:space="preserve">5. Sales growth is real but seasonal, with a predictable Q1 dip.</w:t>
      </w:r>
    </w:p>
    <w:p>
      <w:pPr>
        <w:spacing w:after="200"/>
      </w:pPr>
      <w:r>
        <w:t xml:space="preserve">Total sales nearly doubled from 2011 ($2.2M) to 2014 ($4.3M+), but month level data shows a consistent trough in February and a Q4 surge peaking in November, a pattern management can plan inventory and staffing around.</w:t>
      </w:r>
    </w:p>
    <w:p>
      <w:pPr>
        <w:spacing w:after="200"/>
      </w:pPr>
      <w:r>
        <w:rPr>
          <w:i/>
          <w:iCs/>
        </w:rPr>
        <w:t xml:space="preserve">Evidence: Line chart (year and month drill down).</w:t>
      </w:r>
    </w:p>
    <w:p>
      <w:pPr>
        <w:pStyle w:val="Heading1"/>
        <w:spacing w:after="150" w:before="300"/>
      </w:pPr>
      <w:r>
        <w:t xml:space="preserve">Part 4b — Three Business Risks</w:t>
      </w:r>
    </w:p>
    <w:p>
      <w:pPr>
        <w:spacing w:after="80" w:before="200"/>
      </w:pPr>
      <w:r>
        <w:rPr>
          <w:b/>
          <w:bCs/>
        </w:rPr>
        <w:t xml:space="preserve">1. Continued losses from the Tables sub category.</w:t>
      </w:r>
    </w:p>
    <w:p>
      <w:pPr>
        <w:spacing w:after="200"/>
      </w:pPr>
      <w:r>
        <w:t xml:space="preserve">If left unaddressed, ongoing sales of Tables will keep eroding overall company profit by roughly $64K annually, dragging down the otherwise healthy Furniture category's numbers.</w:t>
      </w:r>
    </w:p>
    <w:p>
      <w:pPr>
        <w:spacing w:after="200"/>
      </w:pPr>
      <w:r>
        <w:rPr>
          <w:i/>
          <w:iCs/>
        </w:rPr>
        <w:t xml:space="preserve">Evidence: Sub Category profit column chart.</w:t>
      </w:r>
    </w:p>
    <w:p>
      <w:pPr>
        <w:spacing w:after="80" w:before="200"/>
      </w:pPr>
      <w:r>
        <w:rPr>
          <w:b/>
          <w:bCs/>
        </w:rPr>
        <w:t xml:space="preserve">2. Southeast Asia's near zero margin poses a scaling risk.</w:t>
      </w:r>
    </w:p>
    <w:p>
      <w:pPr>
        <w:spacing w:after="200"/>
      </w:pPr>
      <w:r>
        <w:t xml:space="preserve">If the company grows sales volume in Southeast Asia without first fixing the underlying margin problem (pricing, discounting, or cost structure), it will grow revenue while barely growing profit, effort spent without proportional reward.</w:t>
      </w:r>
    </w:p>
    <w:p>
      <w:pPr>
        <w:spacing w:after="200"/>
      </w:pPr>
      <w:r>
        <w:rPr>
          <w:i/>
          <w:iCs/>
        </w:rPr>
        <w:t xml:space="preserve">Evidence: Region bar chart; Matrix table.</w:t>
      </w:r>
    </w:p>
    <w:p>
      <w:pPr>
        <w:spacing w:after="80" w:before="200"/>
      </w:pPr>
      <w:r>
        <w:rPr>
          <w:b/>
          <w:bCs/>
        </w:rPr>
        <w:t xml:space="preserve">3. The February seasonal dip could strain planning if unmanaged.</w:t>
      </w:r>
    </w:p>
    <w:p>
      <w:pPr>
        <w:spacing w:after="200"/>
      </w:pPr>
      <w:r>
        <w:t xml:space="preserve">The recurring low point in February is predictable, but if inventory and staffing are not adjusted for it, the company risks overstaffing or overstocking during a period of naturally lower demand.</w:t>
      </w:r>
    </w:p>
    <w:p>
      <w:pPr>
        <w:spacing w:after="200"/>
      </w:pPr>
      <w:r>
        <w:rPr>
          <w:i/>
          <w:iCs/>
        </w:rPr>
        <w:t xml:space="preserve">Evidence: Line chart (month level drill down).</w:t>
      </w:r>
    </w:p>
    <w:p>
      <w:pPr>
        <w:pStyle w:val="Heading1"/>
        <w:spacing w:after="150" w:before="300"/>
      </w:pPr>
      <w:r>
        <w:t xml:space="preserve">Part 4c — Three Business Opportunities</w:t>
      </w:r>
    </w:p>
    <w:p>
      <w:pPr>
        <w:spacing w:after="80" w:before="200"/>
      </w:pPr>
      <w:r>
        <w:rPr>
          <w:b/>
          <w:bCs/>
        </w:rPr>
        <w:t xml:space="preserve">1. Technology is the strongest lever for profitable growth.</w:t>
      </w:r>
    </w:p>
    <w:p>
      <w:pPr>
        <w:spacing w:after="200"/>
      </w:pPr>
      <w:r>
        <w:t xml:space="preserve">Because Technology already converts sales to profit more efficiently (about 14% margin) than any other category, incremental investment in Technology sales will generate more profit per dollar of revenue than equivalent investment elsewhere.</w:t>
      </w:r>
    </w:p>
    <w:p>
      <w:pPr>
        <w:spacing w:after="200"/>
      </w:pPr>
      <w:r>
        <w:rPr>
          <w:i/>
          <w:iCs/>
        </w:rPr>
        <w:t xml:space="preserve">Evidence: Category column chart; KPI cards.</w:t>
      </w:r>
    </w:p>
    <w:p>
      <w:pPr>
        <w:spacing w:after="80" w:before="200"/>
      </w:pPr>
      <w:r>
        <w:rPr>
          <w:b/>
          <w:bCs/>
        </w:rPr>
        <w:t xml:space="preserve">2. The Q4 seasonal surge is a proven, repeatable demand window.</w:t>
      </w:r>
    </w:p>
    <w:p>
      <w:pPr>
        <w:spacing w:after="200"/>
      </w:pPr>
      <w:r>
        <w:t xml:space="preserve">The November peak in sales is not a one off; it appears in the aggregated multi year monthly pattern. Inventory and marketing spend could be positioned ahead of Q4 to capture more of this predictable spike.</w:t>
      </w:r>
    </w:p>
    <w:p>
      <w:pPr>
        <w:spacing w:after="200"/>
      </w:pPr>
      <w:r>
        <w:rPr>
          <w:i/>
          <w:iCs/>
        </w:rPr>
        <w:t xml:space="preserve">Evidence: Line chart (month level drill down).</w:t>
      </w:r>
    </w:p>
    <w:p>
      <w:pPr>
        <w:spacing w:after="80" w:before="200"/>
      </w:pPr>
      <w:r>
        <w:rPr>
          <w:b/>
          <w:bCs/>
        </w:rPr>
        <w:t xml:space="preserve">3. Consumer segment scale supports investment in retention.</w:t>
      </w:r>
    </w:p>
    <w:p>
      <w:pPr>
        <w:spacing w:after="200"/>
      </w:pPr>
      <w:r>
        <w:t xml:space="preserve">Since Consumer is already the largest and proportionally healthy segment (no profit red flags), even a small improvement in retention or average order value here has an outsized impact on total company profit, simply because of its scale.</w:t>
      </w:r>
    </w:p>
    <w:p>
      <w:pPr>
        <w:spacing w:after="200"/>
      </w:pPr>
      <w:r>
        <w:rPr>
          <w:i/>
          <w:iCs/>
        </w:rPr>
        <w:t xml:space="preserve">Evidence: Segment bar chart.</w:t>
      </w:r>
    </w:p>
    <w:p>
      <w:pPr>
        <w:pStyle w:val="Heading1"/>
        <w:spacing w:after="150" w:before="300"/>
      </w:pPr>
      <w:r>
        <w:t xml:space="preserve">Part 5 — Business Recommendations</w:t>
      </w:r>
    </w:p>
    <w:p>
      <w:pPr>
        <w:spacing w:after="200"/>
      </w:pPr>
      <w:r>
        <w:t xml:space="preserve">Each recommendation below is drawn directly from the insights, risks, and opportunities above.</w:t>
      </w:r>
    </w:p>
    <w:p>
      <w:pPr>
        <w:spacing w:after="80" w:before="200"/>
      </w:pPr>
      <w:r>
        <w:rPr>
          <w:b/>
          <w:bCs/>
        </w:rPr>
        <w:t xml:space="preserve">1. Review pricing or consider discontinuing underperforming Tables SKUs.</w:t>
      </w:r>
    </w:p>
    <w:p>
      <w:pPr>
        <w:spacing w:after="200"/>
      </w:pPr>
      <w:r>
        <w:t xml:space="preserve">Since Tables is the only sub category losing money, management should audit individual Tables products to identify whether the loss is driven by excessive discounting, high shipping cost, or genuinely unprofitable pricing, and act accordingly (reprice, renegotiate supplier cost, or discontinue the weakest SKUs).</w:t>
      </w:r>
    </w:p>
    <w:p>
      <w:pPr>
        <w:spacing w:after="200"/>
      </w:pPr>
      <w:r>
        <w:rPr>
          <w:i/>
          <w:iCs/>
        </w:rPr>
        <w:t xml:space="preserve">Evidence: Insight 1; Risk 1.</w:t>
      </w:r>
    </w:p>
    <w:p>
      <w:pPr>
        <w:spacing w:after="80" w:before="200"/>
      </w:pPr>
      <w:r>
        <w:rPr>
          <w:b/>
          <w:bCs/>
        </w:rPr>
        <w:t xml:space="preserve">2. Investigate the cause of Southeast Asia's low margin before scaling sales there.</w:t>
      </w:r>
    </w:p>
    <w:p>
      <w:pPr>
        <w:spacing w:after="200"/>
      </w:pPr>
      <w:r>
        <w:t xml:space="preserve">Rather than pushing more marketing spend into a region with a 2% margin, management should first determine whether the cause is excessive discounting, high shipping cost, or local pricing pressure, fixing the margin before scaling volume.</w:t>
      </w:r>
    </w:p>
    <w:p>
      <w:pPr>
        <w:spacing w:after="200"/>
      </w:pPr>
      <w:r>
        <w:rPr>
          <w:i/>
          <w:iCs/>
        </w:rPr>
        <w:t xml:space="preserve">Evidence: Insight 3; Risk 2.</w:t>
      </w:r>
    </w:p>
    <w:p>
      <w:pPr>
        <w:spacing w:after="80" w:before="200"/>
      </w:pPr>
      <w:r>
        <w:rPr>
          <w:b/>
          <w:bCs/>
        </w:rPr>
        <w:t xml:space="preserve">3. Increase marketing and inventory investment in Technology ahead of Q4.</w:t>
      </w:r>
    </w:p>
    <w:p>
      <w:pPr>
        <w:spacing w:after="200"/>
      </w:pPr>
      <w:r>
        <w:t xml:space="preserve">Combining the Technology margin advantage with the proven November demand peak, management should prioritize Technology stock and promotion specifically in the September through November window to capture the highest margin category during the highest demand period.</w:t>
      </w:r>
    </w:p>
    <w:p>
      <w:pPr>
        <w:spacing w:after="200"/>
      </w:pPr>
      <w:r>
        <w:rPr>
          <w:i/>
          <w:iCs/>
        </w:rPr>
        <w:t xml:space="preserve">Evidence: Insight 2; Opportunity 1; Opportunity 2.</w:t>
      </w:r>
    </w:p>
    <w:p>
      <w:pPr>
        <w:spacing w:after="80" w:before="200"/>
      </w:pPr>
      <w:r>
        <w:rPr>
          <w:b/>
          <w:bCs/>
        </w:rPr>
        <w:t xml:space="preserve">4. Build a seasonal staffing and inventory plan around the February dip and November peak.</w:t>
      </w:r>
    </w:p>
    <w:p>
      <w:pPr>
        <w:spacing w:after="200"/>
      </w:pPr>
      <w:r>
        <w:t xml:space="preserve">Rather than running flat staffing and inventory levels year round, management should scale down operational costs in Q1 (especially February) and scale up ahead of Q4, matching cost structure to the demand curve rather than treating each month as equal.</w:t>
      </w:r>
    </w:p>
    <w:p>
      <w:pPr>
        <w:spacing w:after="200"/>
      </w:pPr>
      <w:r>
        <w:rPr>
          <w:i/>
          <w:iCs/>
        </w:rPr>
        <w:t xml:space="preserve">Evidence: Insight 5; Risk 3; Opportunity 2.</w:t>
      </w:r>
    </w:p>
    <w:p>
      <w:pPr>
        <w:spacing w:after="80" w:before="200"/>
      </w:pPr>
      <w:r>
        <w:rPr>
          <w:b/>
          <w:bCs/>
        </w:rPr>
        <w:t xml:space="preserve">5. Launch a retention focused initiative for the Consumer segment.</w:t>
      </w:r>
    </w:p>
    <w:p>
      <w:pPr>
        <w:spacing w:after="200"/>
      </w:pPr>
      <w:r>
        <w:t xml:space="preserve">Given Consumer's scale and proportional health, a loyalty program, personalized offers, or improved repeat purchase incentives targeted at Consumer customers would compound: a small percentage improvement here is worth more in absolute dollars than the same percentage improvement in a smaller segment.</w:t>
      </w:r>
    </w:p>
    <w:p>
      <w:pPr>
        <w:spacing w:after="200"/>
      </w:pPr>
      <w:r>
        <w:rPr>
          <w:i/>
          <w:iCs/>
        </w:rPr>
        <w:t xml:space="preserve">Evidence: Insight 4; Opportunity 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2026-08-16T00:59:12.885Z</dcterms:created>
  <dcterms:modified xsi:type="dcterms:W3CDTF">2026-08-16T00:59:12.898Z</dcterms:modified>
</cp:coreProperties>
</file>

<file path=docProps/custom.xml><?xml version="1.0" encoding="utf-8"?>
<Properties xmlns="http://schemas.openxmlformats.org/officeDocument/2006/custom-properties" xmlns:vt="http://schemas.openxmlformats.org/officeDocument/2006/docPropsVTypes"/>
</file>