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ANALYSTLAB AFRICA</w:t>
      </w:r>
    </w:p>
    <w:p>
      <w:pPr>
        <w:spacing w:after="200"/>
      </w:pPr>
      <w:r>
        <w:t xml:space="preserve">Data Analytics Internship Programme — Week 2</w:t>
      </w:r>
    </w:p>
    <w:p>
      <w:pPr>
        <w:spacing w:after="300"/>
      </w:pPr>
      <w:r>
        <w:rPr>
          <w:b/>
          <w:bCs/>
        </w:rPr>
        <w:t xml:space="preserve">Executive Summary Report</w:t>
      </w:r>
    </w:p>
    <w:p>
      <w:pPr>
        <w:pStyle w:val="Heading1"/>
        <w:spacing w:after="150" w:before="300"/>
      </w:pPr>
      <w:r>
        <w:t xml:space="preserve">Business Problem</w:t>
      </w:r>
    </w:p>
    <w:p>
      <w:pPr>
        <w:spacing w:after="200"/>
      </w:pPr>
      <w:r>
        <w:t xml:space="preserve">A national retail company asked AnalystLab Africa Consulting to build an executive dashboard that gives senior management visibility into sales performance, profitability, customer behaviour, and regional performance, replacing ad hoc spreadsheet review with a single interactive source of truth.</w:t>
      </w:r>
    </w:p>
    <w:p>
      <w:pPr>
        <w:pStyle w:val="Heading1"/>
        <w:spacing w:after="150" w:before="300"/>
      </w:pPr>
      <w:r>
        <w:t xml:space="preserve">Approach</w:t>
      </w:r>
    </w:p>
    <w:p>
      <w:pPr>
        <w:spacing w:after="200"/>
      </w:pPr>
      <w:r>
        <w:t xml:space="preserve">The Global Superstore dataset (51,290 order line records, 2011 to 2014, 147 countries) was imported into Power BI, cleaned and validated (date types corrected, duplicate and null checks confirmed through two independent methods), and modelled into 5 KPI measures and 9 visualisations covering Region, Segment, Category, Sub Category, Country, and time trend, all filterable by Region and Order Date.</w:t>
      </w:r>
    </w:p>
    <w:p>
      <w:pPr>
        <w:pStyle w:val="Heading1"/>
        <w:spacing w:after="150" w:before="300"/>
      </w:pPr>
      <w:r>
        <w:t xml:space="preserve">Headline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pct" w:w="20%"/>
            <w:shd w:fill="F2F2F2" w:val="clear"/>
          </w:tcPr>
          <w:p>
            <w:pPr>
              <w:jc w:val="center"/>
            </w:pPr>
            <w:r>
              <w:rPr>
                <w:b/>
                <w:bCs/>
                <w:sz w:val="28"/>
                <w:szCs w:val="28"/>
              </w:rPr>
              <w:t xml:space="preserve">$12.64M</w:t>
            </w:r>
          </w:p>
          <w:p>
            <w:pPr>
              <w:jc w:val="center"/>
            </w:pPr>
            <w:r>
              <w:rPr>
                <w:sz w:val="18"/>
                <w:szCs w:val="18"/>
              </w:rPr>
              <w:t xml:space="preserve">Total Sales</w:t>
            </w:r>
          </w:p>
        </w:tc>
        <w:tc>
          <w:tcPr>
            <w:tcW w:type="pct" w:w="20%"/>
            <w:shd w:fill="F2F2F2" w:val="clear"/>
          </w:tcPr>
          <w:p>
            <w:pPr>
              <w:jc w:val="center"/>
            </w:pPr>
            <w:r>
              <w:rPr>
                <w:b/>
                <w:bCs/>
                <w:sz w:val="28"/>
                <w:szCs w:val="28"/>
              </w:rPr>
              <w:t xml:space="preserve">$1.47M</w:t>
            </w:r>
          </w:p>
          <w:p>
            <w:pPr>
              <w:jc w:val="center"/>
            </w:pPr>
            <w:r>
              <w:rPr>
                <w:sz w:val="18"/>
                <w:szCs w:val="18"/>
              </w:rPr>
              <w:t xml:space="preserve">Total Profit</w:t>
            </w:r>
          </w:p>
        </w:tc>
        <w:tc>
          <w:tcPr>
            <w:tcW w:type="pct" w:w="20%"/>
            <w:shd w:fill="F2F2F2" w:val="clear"/>
          </w:tcPr>
          <w:p>
            <w:pPr>
              <w:jc w:val="center"/>
            </w:pPr>
            <w:r>
              <w:rPr>
                <w:b/>
                <w:bCs/>
                <w:sz w:val="28"/>
                <w:szCs w:val="28"/>
              </w:rPr>
              <w:t xml:space="preserve">25,035</w:t>
            </w:r>
          </w:p>
          <w:p>
            <w:pPr>
              <w:jc w:val="center"/>
            </w:pPr>
            <w:r>
              <w:rPr>
                <w:sz w:val="18"/>
                <w:szCs w:val="18"/>
              </w:rPr>
              <w:t xml:space="preserve">Total Orders</w:t>
            </w:r>
          </w:p>
        </w:tc>
        <w:tc>
          <w:tcPr>
            <w:tcW w:type="pct" w:w="20%"/>
            <w:shd w:fill="F2F2F2" w:val="clear"/>
          </w:tcPr>
          <w:p>
            <w:pPr>
              <w:jc w:val="center"/>
            </w:pPr>
            <w:r>
              <w:rPr>
                <w:b/>
                <w:bCs/>
                <w:sz w:val="28"/>
                <w:szCs w:val="28"/>
              </w:rPr>
              <w:t xml:space="preserve">$504.99</w:t>
            </w:r>
          </w:p>
          <w:p>
            <w:pPr>
              <w:jc w:val="center"/>
            </w:pPr>
            <w:r>
              <w:rPr>
                <w:sz w:val="18"/>
                <w:szCs w:val="18"/>
              </w:rPr>
              <w:t xml:space="preserve">Average Sales</w:t>
            </w:r>
          </w:p>
        </w:tc>
        <w:tc>
          <w:tcPr>
            <w:tcW w:type="pct" w:w="20%"/>
            <w:shd w:fill="F2F2F2" w:val="clear"/>
          </w:tcPr>
          <w:p>
            <w:pPr>
              <w:jc w:val="center"/>
            </w:pPr>
            <w:r>
              <w:rPr>
                <w:b/>
                <w:bCs/>
                <w:sz w:val="28"/>
                <w:szCs w:val="28"/>
              </w:rPr>
              <w:t xml:space="preserve">11.6%</w:t>
            </w:r>
          </w:p>
          <w:p>
            <w:pPr>
              <w:jc w:val="center"/>
            </w:pPr>
            <w:r>
              <w:rPr>
                <w:sz w:val="18"/>
                <w:szCs w:val="18"/>
              </w:rPr>
              <w:t xml:space="preserve">Profit Margin</w:t>
            </w:r>
          </w:p>
        </w:tc>
      </w:tr>
    </w:tbl>
    <w:p>
      <w:pPr>
        <w:spacing w:after="200"/>
      </w:pPr>
    </w:p>
    <w:p>
      <w:pPr>
        <w:pStyle w:val="Heading1"/>
        <w:spacing w:after="150" w:before="300"/>
      </w:pPr>
      <w:r>
        <w:t xml:space="preserve">Key Findings</w:t>
      </w:r>
    </w:p>
    <w:p>
      <w:pPr>
        <w:pStyle w:val="ListParagraph"/>
        <w:numPr>
          <w:ilvl w:val="0"/>
          <w:numId w:val="1"/>
        </w:numPr>
        <w:spacing w:after="120"/>
      </w:pPr>
      <w:r>
        <w:t xml:space="preserve">Tables is the only sub category losing money ($64,083 lost on $757K in sales). Every other sub category is profitable.</w:t>
      </w:r>
    </w:p>
    <w:p>
      <w:pPr>
        <w:pStyle w:val="ListParagraph"/>
        <w:numPr>
          <w:ilvl w:val="0"/>
          <w:numId w:val="1"/>
        </w:numPr>
        <w:spacing w:after="120"/>
      </w:pPr>
      <w:r>
        <w:t xml:space="preserve">Technology carries the strongest margin (about 14%) of any category, ahead of Furniture (about 7%).</w:t>
      </w:r>
    </w:p>
    <w:p>
      <w:pPr>
        <w:pStyle w:val="ListParagraph"/>
        <w:numPr>
          <w:ilvl w:val="0"/>
          <w:numId w:val="1"/>
        </w:numPr>
        <w:spacing w:after="120"/>
      </w:pPr>
      <w:r>
        <w:t xml:space="preserve">Southeast Asia generates $884K in sales but only about $17.8K in profit (about 2% margin), a volume to margin mismatch not matched by any other region.</w:t>
      </w:r>
    </w:p>
    <w:p>
      <w:pPr>
        <w:pStyle w:val="ListParagraph"/>
        <w:numPr>
          <w:ilvl w:val="0"/>
          <w:numId w:val="1"/>
        </w:numPr>
        <w:spacing w:after="120"/>
      </w:pPr>
      <w:r>
        <w:t xml:space="preserve">Consumer is the largest, proportionally healthy segment: $6.5M in sales, $749K in profit, no red flags.</w:t>
      </w:r>
    </w:p>
    <w:p>
      <w:pPr>
        <w:pStyle w:val="ListParagraph"/>
        <w:numPr>
          <w:ilvl w:val="0"/>
          <w:numId w:val="1"/>
        </w:numPr>
        <w:spacing w:after="120"/>
      </w:pPr>
      <w:r>
        <w:t xml:space="preserve">Sales nearly doubled from 2011 ($2.2M) to 2014 ($4.3M+), with a consistent February low and a November peak.</w:t>
      </w:r>
    </w:p>
    <w:p>
      <w:pPr>
        <w:pStyle w:val="Heading1"/>
        <w:spacing w:after="150" w:before="300"/>
      </w:pPr>
      <w:r>
        <w:t xml:space="preserve">Top Recommendations</w:t>
      </w:r>
    </w:p>
    <w:p>
      <w:pPr>
        <w:pStyle w:val="ListParagraph"/>
        <w:numPr>
          <w:ilvl w:val="0"/>
          <w:numId w:val="1"/>
        </w:numPr>
        <w:spacing w:after="120"/>
      </w:pPr>
      <w:r>
        <w:t xml:space="preserve">Review pricing or discontinue underperforming Tables SKUs to stop the ongoing loss.</w:t>
      </w:r>
    </w:p>
    <w:p>
      <w:pPr>
        <w:pStyle w:val="ListParagraph"/>
        <w:numPr>
          <w:ilvl w:val="0"/>
          <w:numId w:val="1"/>
        </w:numPr>
        <w:spacing w:after="120"/>
      </w:pPr>
      <w:r>
        <w:t xml:space="preserve">Investigate the cause of Southeast Asia's low margin before investing further in growing sales there.</w:t>
      </w:r>
    </w:p>
    <w:p>
      <w:pPr>
        <w:pStyle w:val="ListParagraph"/>
        <w:numPr>
          <w:ilvl w:val="0"/>
          <w:numId w:val="1"/>
        </w:numPr>
        <w:spacing w:after="120"/>
      </w:pPr>
      <w:r>
        <w:t xml:space="preserve">Prioritise Technology stock and promotion ahead of the Q4 (Sept to Nov) demand surge.</w:t>
      </w:r>
    </w:p>
    <w:p>
      <w:pPr>
        <w:pStyle w:val="ListParagraph"/>
        <w:numPr>
          <w:ilvl w:val="0"/>
          <w:numId w:val="1"/>
        </w:numPr>
        <w:spacing w:after="120"/>
      </w:pPr>
      <w:r>
        <w:t xml:space="preserve">Build a seasonal staffing and inventory plan around the February dip and November peak.</w:t>
      </w:r>
    </w:p>
    <w:p>
      <w:pPr>
        <w:pStyle w:val="ListParagraph"/>
        <w:numPr>
          <w:ilvl w:val="0"/>
          <w:numId w:val="1"/>
        </w:numPr>
        <w:spacing w:after="120"/>
      </w:pPr>
      <w:r>
        <w:t xml:space="preserve">Launch a retention initiative for the Consumer segment, where scale gives even small improvements outsized impact.</w:t>
      </w:r>
    </w:p>
    <w:p>
      <w:pPr>
        <w:pStyle w:val="Heading1"/>
        <w:spacing w:after="150" w:before="300"/>
      </w:pPr>
      <w:r>
        <w:t xml:space="preserve">Conclusion</w:t>
      </w:r>
    </w:p>
    <w:p>
      <w:pPr>
        <w:spacing w:after="200"/>
      </w:pPr>
      <w:r>
        <w:t xml:space="preserve">The dashboard answers all seven business questions set out in the case study brief. Every finding above traces back to a specific chart or KPI in the delivered Power BI file, and every recommendation is tied to a specific finding, not a general assumption. Full supporting detail is available in the Business Intelligence Overview Report and the Business Insights and Recommendations document submitted alongside this summary.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2026-08-16T01:02:08.495Z</dcterms:created>
  <dcterms:modified xsi:type="dcterms:W3CDTF">2026-08-16T01:02:08.495Z</dcterms:modified>
</cp:coreProperties>
</file>

<file path=docProps/custom.xml><?xml version="1.0" encoding="utf-8"?>
<Properties xmlns="http://schemas.openxmlformats.org/officeDocument/2006/custom-properties" xmlns:vt="http://schemas.openxmlformats.org/officeDocument/2006/docPropsVTypes"/>
</file>