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tif" ContentType="image/tiff"/>
  <Override PartName="/word/media/image3.png" ContentType="image/pn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 </w:t>
      </w:r>
    </w:p>
    <w:p>
      <w:pPr>
        <w:pStyle w:val="Normal"/>
        <w:rPr/>
      </w:pPr>
      <w:r>
        <w:rPr/>
        <w:drawing>
          <wp:anchor behindDoc="0" distT="0" distB="0" distL="114300" distR="114300" simplePos="0" locked="0" layoutInCell="1" allowOverlap="1" relativeHeight="4">
            <wp:simplePos x="0" y="0"/>
            <wp:positionH relativeFrom="column">
              <wp:posOffset>4280535</wp:posOffset>
            </wp:positionH>
            <wp:positionV relativeFrom="paragraph">
              <wp:posOffset>94615</wp:posOffset>
            </wp:positionV>
            <wp:extent cx="2260600" cy="802640"/>
            <wp:effectExtent l="0" t="0" r="0" b="0"/>
            <wp:wrapSquare wrapText="bothSides"/>
            <wp:docPr id="1" name="Picture 2" descr="/Users/Nicholas/Downloads/ENV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Users/Nicholas/Downloads/ENVY LOGO.png"/>
                    <pic:cNvPicPr>
                      <a:picLocks noChangeAspect="1" noChangeArrowheads="1"/>
                    </pic:cNvPicPr>
                  </pic:nvPicPr>
                  <pic:blipFill>
                    <a:blip r:embed="rId2"/>
                    <a:stretch>
                      <a:fillRect/>
                    </a:stretch>
                  </pic:blipFill>
                  <pic:spPr bwMode="auto">
                    <a:xfrm>
                      <a:off x="0" y="0"/>
                      <a:ext cx="2260600" cy="8026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26365" simplePos="0" locked="0" layoutInCell="1" allowOverlap="1" relativeHeight="24">
            <wp:simplePos x="0" y="0"/>
            <wp:positionH relativeFrom="column">
              <wp:posOffset>-900430</wp:posOffset>
            </wp:positionH>
            <wp:positionV relativeFrom="paragraph">
              <wp:posOffset>259715</wp:posOffset>
            </wp:positionV>
            <wp:extent cx="4280535" cy="6057265"/>
            <wp:effectExtent l="0" t="0" r="0" b="0"/>
            <wp:wrapSquare wrapText="bothSides"/>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4280535" cy="6057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 wp14:anchorId="4ADD7290">
                <wp:simplePos x="0" y="0"/>
                <wp:positionH relativeFrom="column">
                  <wp:posOffset>-902970</wp:posOffset>
                </wp:positionH>
                <wp:positionV relativeFrom="paragraph">
                  <wp:posOffset>196215</wp:posOffset>
                </wp:positionV>
                <wp:extent cx="7546340" cy="3201035"/>
                <wp:effectExtent l="0" t="0" r="0" b="0"/>
                <wp:wrapSquare wrapText="bothSides"/>
                <wp:docPr id="3" name="Rectangle 1"/>
                <a:graphic xmlns:a="http://schemas.openxmlformats.org/drawingml/2006/main">
                  <a:graphicData uri="http://schemas.microsoft.com/office/word/2010/wordprocessingShape">
                    <wps:wsp>
                      <wps:cNvSpPr/>
                      <wps:spPr>
                        <a:xfrm>
                          <a:off x="0" y="0"/>
                          <a:ext cx="7545600" cy="3200400"/>
                        </a:xfrm>
                        <a:prstGeom prst="rect">
                          <a:avLst/>
                        </a:prstGeom>
                        <a:solidFill>
                          <a:srgbClr val="e87349"/>
                        </a:solidFill>
                        <a:ln w="12600">
                          <a:noFill/>
                        </a:ln>
                      </wps:spPr>
                      <wps:style>
                        <a:lnRef idx="0"/>
                        <a:fillRef idx="0"/>
                        <a:effectRef idx="0"/>
                        <a:fontRef idx="minor"/>
                      </wps:style>
                      <wps:bodyPr/>
                    </wps:wsp>
                  </a:graphicData>
                </a:graphic>
              </wp:anchor>
            </w:drawing>
          </mc:Choice>
          <mc:Fallback>
            <w:pict>
              <v:rect id="shape_0" ID="Rectangle 1" fillcolor="#e87349" stroked="f" style="position:absolute;margin-left:-71.1pt;margin-top:15.45pt;width:594.1pt;height:251.95pt" wp14:anchorId="4ADD7290">
                <w10:wrap type="none"/>
                <v:fill o:detectmouseclick="t" type="solid" color2="#178cb6"/>
                <v:stroke color="#3465a4" weight="12600" joinstyle="miter" endcap="flat"/>
              </v:rect>
            </w:pict>
          </mc:Fallback>
        </mc:AlternateContent>
        <mc:AlternateContent>
          <mc:Choice Requires="wps">
            <w:drawing>
              <wp:anchor behindDoc="0" distT="0" distB="0" distL="114300" distR="114300" simplePos="0" locked="0" layoutInCell="1" allowOverlap="1" relativeHeight="6" wp14:anchorId="75FD39AA">
                <wp:simplePos x="0" y="0"/>
                <wp:positionH relativeFrom="column">
                  <wp:posOffset>3517900</wp:posOffset>
                </wp:positionH>
                <wp:positionV relativeFrom="paragraph">
                  <wp:posOffset>1945005</wp:posOffset>
                </wp:positionV>
                <wp:extent cx="2896235" cy="1390650"/>
                <wp:effectExtent l="0" t="0" r="0" b="0"/>
                <wp:wrapSquare wrapText="bothSides"/>
                <wp:docPr id="4" name="Text Box 6"/>
                <a:graphic xmlns:a="http://schemas.openxmlformats.org/drawingml/2006/main">
                  <a:graphicData uri="http://schemas.microsoft.com/office/word/2010/wordprocessingShape">
                    <wps:wsp>
                      <wps:cNvSpPr/>
                      <wps:spPr>
                        <a:xfrm>
                          <a:off x="0" y="0"/>
                          <a:ext cx="2895480" cy="1389960"/>
                        </a:xfrm>
                        <a:prstGeom prst="rect">
                          <a:avLst/>
                        </a:prstGeom>
                        <a:noFill/>
                        <a:ln>
                          <a:noFill/>
                        </a:ln>
                      </wps:spPr>
                      <wps:style>
                        <a:lnRef idx="0"/>
                        <a:fillRef idx="0"/>
                        <a:effectRef idx="0"/>
                        <a:fontRef idx="minor"/>
                      </wps:style>
                      <wps:txbx>
                        <w:txbxContent>
                          <w:p>
                            <w:pPr>
                              <w:pStyle w:val="FrameContents"/>
                              <w:rPr>
                                <w:rFonts w:ascii="Avenir Next" w:hAnsi="Avenir Next"/>
                                <w:b/>
                                <w:b/>
                                <w:color w:val="002041"/>
                                <w:sz w:val="36"/>
                              </w:rPr>
                            </w:pPr>
                            <w:r>
                              <w:rPr>
                                <w:rFonts w:ascii="Avenir Next" w:hAnsi="Avenir Next"/>
                                <w:b/>
                                <w:color w:val="002041"/>
                                <w:sz w:val="36"/>
                              </w:rPr>
                              <w:t>INVESTMENT REPORT</w:t>
                            </w:r>
                          </w:p>
                          <w:p>
                            <w:pPr>
                              <w:pStyle w:val="FrameContents"/>
                              <w:rPr>
                                <w:rFonts w:ascii="Avenir Next" w:hAnsi="Avenir Next"/>
                                <w:color w:val="002041"/>
                                <w:sz w:val="28"/>
                              </w:rPr>
                            </w:pPr>
                            <w:r>
                              <w:rPr>
                                <w:rFonts w:ascii="Avenir Next" w:hAnsi="Avenir Next"/>
                                <w:color w:val="002041"/>
                                <w:sz w:val="28"/>
                              </w:rPr>
                              <w:t>XXX</w:t>
                            </w:r>
                            <w:bookmarkStart w:id="0" w:name="_GoBack"/>
                            <w:bookmarkEnd w:id="0"/>
                            <w:r>
                              <w:rPr>
                                <w:rFonts w:ascii="Avenir Next" w:hAnsi="Avenir Next"/>
                                <w:color w:val="002041"/>
                                <w:sz w:val="28"/>
                              </w:rPr>
                              <w:t xml:space="preserve"> PTE LTD</w:t>
                            </w:r>
                          </w:p>
                          <w:p>
                            <w:pPr>
                              <w:pStyle w:val="FrameContents"/>
                              <w:rPr>
                                <w:rFonts w:ascii="Avenir Next" w:hAnsi="Avenir Next"/>
                                <w:color w:val="002041"/>
                                <w:sz w:val="28"/>
                              </w:rPr>
                            </w:pPr>
                            <w:r>
                              <w:rPr>
                                <w:rFonts w:ascii="Avenir Next" w:hAnsi="Avenir Next"/>
                                <w:color w:val="002041"/>
                                <w:sz w:val="28"/>
                              </w:rPr>
                              <w:t xml:space="preserve">As at 31 May 2017 </w:t>
                            </w:r>
                          </w:p>
                          <w:p>
                            <w:pPr>
                              <w:pStyle w:val="FrameContents"/>
                              <w:rPr/>
                            </w:pPr>
                            <w:r>
                              <w:rPr>
                                <w:rFonts w:ascii="Avenir Next" w:hAnsi="Avenir Next"/>
                                <w:i/>
                                <w:color w:val="002041"/>
                                <w:sz w:val="22"/>
                              </w:rPr>
                              <w:t>Prepared by Envy Asset Management Pte Ltd</w:t>
                            </w:r>
                          </w:p>
                        </w:txbxContent>
                      </wps:txbx>
                      <wps:bodyPr>
                        <a:prstTxWarp prst="textNoShape"/>
                        <a:noAutofit/>
                      </wps:bodyPr>
                    </wps:wsp>
                  </a:graphicData>
                </a:graphic>
              </wp:anchor>
            </w:drawing>
          </mc:Choice>
          <mc:Fallback>
            <w:pict>
              <v:rect id="shape_0" ID="Text Box 6" stroked="f" style="position:absolute;margin-left:277pt;margin-top:153.15pt;width:227.95pt;height:109.4pt" wp14:anchorId="75FD39AA">
                <w10:wrap type="square"/>
                <v:fill o:detectmouseclick="t" on="false"/>
                <v:stroke color="#3465a4" joinstyle="round" endcap="flat"/>
                <v:textbox>
                  <w:txbxContent>
                    <w:p>
                      <w:pPr>
                        <w:pStyle w:val="FrameContents"/>
                        <w:rPr>
                          <w:rFonts w:ascii="Avenir Next" w:hAnsi="Avenir Next"/>
                          <w:b/>
                          <w:b/>
                          <w:color w:val="002041"/>
                          <w:sz w:val="36"/>
                        </w:rPr>
                      </w:pPr>
                      <w:r>
                        <w:rPr>
                          <w:rFonts w:ascii="Avenir Next" w:hAnsi="Avenir Next"/>
                          <w:b/>
                          <w:color w:val="002041"/>
                          <w:sz w:val="36"/>
                        </w:rPr>
                        <w:t>INVESTMENT REPORT</w:t>
                      </w:r>
                    </w:p>
                    <w:p>
                      <w:pPr>
                        <w:pStyle w:val="FrameContents"/>
                        <w:rPr>
                          <w:rFonts w:ascii="Avenir Next" w:hAnsi="Avenir Next"/>
                          <w:color w:val="002041"/>
                          <w:sz w:val="28"/>
                        </w:rPr>
                      </w:pPr>
                      <w:r>
                        <w:rPr>
                          <w:rFonts w:ascii="Avenir Next" w:hAnsi="Avenir Next"/>
                          <w:color w:val="002041"/>
                          <w:sz w:val="28"/>
                        </w:rPr>
                        <w:t>XXX</w:t>
                      </w:r>
                      <w:bookmarkStart w:id="1" w:name="_GoBack"/>
                      <w:bookmarkEnd w:id="1"/>
                      <w:r>
                        <w:rPr>
                          <w:rFonts w:ascii="Avenir Next" w:hAnsi="Avenir Next"/>
                          <w:color w:val="002041"/>
                          <w:sz w:val="28"/>
                        </w:rPr>
                        <w:t xml:space="preserve"> PTE LTD</w:t>
                      </w:r>
                    </w:p>
                    <w:p>
                      <w:pPr>
                        <w:pStyle w:val="FrameContents"/>
                        <w:rPr>
                          <w:rFonts w:ascii="Avenir Next" w:hAnsi="Avenir Next"/>
                          <w:color w:val="002041"/>
                          <w:sz w:val="28"/>
                        </w:rPr>
                      </w:pPr>
                      <w:r>
                        <w:rPr>
                          <w:rFonts w:ascii="Avenir Next" w:hAnsi="Avenir Next"/>
                          <w:color w:val="002041"/>
                          <w:sz w:val="28"/>
                        </w:rPr>
                        <w:t xml:space="preserve">As at 31 May 2017 </w:t>
                      </w:r>
                    </w:p>
                    <w:p>
                      <w:pPr>
                        <w:pStyle w:val="FrameContents"/>
                        <w:rPr/>
                      </w:pPr>
                      <w:r>
                        <w:rPr>
                          <w:rFonts w:ascii="Avenir Next" w:hAnsi="Avenir Next"/>
                          <w:i/>
                          <w:color w:val="002041"/>
                          <w:sz w:val="22"/>
                        </w:rPr>
                        <w:t>Prepared by Envy Asset Management Pte Ltd</w:t>
                      </w:r>
                    </w:p>
                  </w:txbxContent>
                </v:textbox>
              </v:rect>
            </w:pict>
          </mc:Fallback>
        </mc:AlternateContent>
      </w:r>
    </w:p>
    <w:p>
      <w:pPr>
        <w:pStyle w:val="Normal"/>
        <w:rPr/>
      </w:pPr>
      <w:r>
        <w:rPr/>
      </w:r>
    </w:p>
    <w:p>
      <w:pPr>
        <w:pStyle w:val="Normal"/>
        <w:rPr/>
      </w:pPr>
      <w:r>
        <w:rPr/>
      </w:r>
      <w:r>
        <w:br w:type="page"/>
      </w:r>
    </w:p>
    <w:p>
      <w:pPr>
        <w:pStyle w:val="Normal"/>
        <w:rPr/>
      </w:pPr>
      <w:r>
        <w:rPr/>
      </w:r>
    </w:p>
    <w:p>
      <w:pPr>
        <w:sectPr>
          <w:headerReference w:type="default" r:id="rId4"/>
          <w:footerReference w:type="default" r:id="rId5"/>
          <w:type w:val="nextPage"/>
          <w:pgSz w:w="11906" w:h="16838"/>
          <w:pgMar w:left="1440" w:right="1440" w:header="708" w:top="1146" w:footer="708" w:bottom="1201" w:gutter="0"/>
          <w:pgNumType w:start="0" w:fmt="decimal"/>
          <w:formProt w:val="false"/>
          <w:titlePg/>
          <w:textDirection w:val="lrTb"/>
          <w:docGrid w:type="default" w:linePitch="400" w:charSpace="4294961151"/>
        </w:sectPr>
        <w:pStyle w:val="Normal"/>
        <w:pBdr/>
        <w:rPr>
          <w:rStyle w:val="Pagenumber"/>
        </w:rPr>
      </w:pPr>
      <w:r>
        <w:rPr/>
        <mc:AlternateContent>
          <mc:Choice Requires="wps">
            <w:drawing>
              <wp:anchor behindDoc="1" distT="0" distB="0" distL="114300" distR="114300" simplePos="0" locked="0" layoutInCell="1" allowOverlap="1" relativeHeight="2" wp14:anchorId="20A4F8E5">
                <wp:simplePos x="0" y="0"/>
                <wp:positionH relativeFrom="column">
                  <wp:posOffset>752475</wp:posOffset>
                </wp:positionH>
                <wp:positionV relativeFrom="paragraph">
                  <wp:posOffset>2595245</wp:posOffset>
                </wp:positionV>
                <wp:extent cx="8261350" cy="3495040"/>
                <wp:effectExtent l="0" t="4445" r="0" b="0"/>
                <wp:wrapSquare wrapText="bothSides"/>
                <wp:docPr id="6" name="Rectangle 3"/>
                <a:graphic xmlns:a="http://schemas.openxmlformats.org/drawingml/2006/main">
                  <a:graphicData uri="http://schemas.microsoft.com/office/word/2010/wordprocessingShape">
                    <wps:wsp>
                      <wps:cNvSpPr/>
                      <wps:spPr>
                        <a:xfrm rot="16200000">
                          <a:off x="0" y="0"/>
                          <a:ext cx="8260560" cy="3494520"/>
                        </a:xfrm>
                        <a:prstGeom prst="rect">
                          <a:avLst/>
                        </a:prstGeom>
                        <a:solidFill>
                          <a:srgbClr val="e87349"/>
                        </a:solidFill>
                        <a:ln w="12600">
                          <a:noFill/>
                        </a:ln>
                      </wps:spPr>
                      <wps:style>
                        <a:lnRef idx="0"/>
                        <a:fillRef idx="0"/>
                        <a:effectRef idx="0"/>
                        <a:fontRef idx="minor"/>
                      </wps:style>
                      <wps:bodyPr/>
                    </wps:wsp>
                  </a:graphicData>
                </a:graphic>
              </wp:anchor>
            </w:drawing>
          </mc:Choice>
          <mc:Fallback>
            <w:pict>
              <v:rect id="shape_0" ID="Rectangle 3" fillcolor="#e87349" stroked="f" style="position:absolute;margin-left:59.3pt;margin-top:204.35pt;width:650.4pt;height:275.1pt;rotation:270" wp14:anchorId="20A4F8E5">
                <w10:wrap type="none"/>
                <v:fill o:detectmouseclick="t" type="solid" color2="#178cb6"/>
                <v:stroke color="#3465a4" weight="12600" joinstyle="miter" endcap="flat"/>
              </v:rect>
            </w:pict>
          </mc:Fallback>
        </mc:AlternateContent>
        <mc:AlternateContent>
          <mc:Choice Requires="wps">
            <w:drawing>
              <wp:anchor behindDoc="0" distT="0" distB="0" distL="114300" distR="114300" simplePos="0" locked="0" layoutInCell="1" allowOverlap="1" relativeHeight="5" wp14:anchorId="6B9C9057">
                <wp:simplePos x="0" y="0"/>
                <wp:positionH relativeFrom="column">
                  <wp:posOffset>-524510</wp:posOffset>
                </wp:positionH>
                <wp:positionV relativeFrom="paragraph">
                  <wp:posOffset>349885</wp:posOffset>
                </wp:positionV>
                <wp:extent cx="3357245" cy="8251190"/>
                <wp:effectExtent l="0" t="0" r="0" b="0"/>
                <wp:wrapSquare wrapText="bothSides"/>
                <wp:docPr id="7" name="Text Box 5"/>
                <a:graphic xmlns:a="http://schemas.openxmlformats.org/drawingml/2006/main">
                  <a:graphicData uri="http://schemas.microsoft.com/office/word/2010/wordprocessingShape">
                    <wps:wsp>
                      <wps:cNvSpPr/>
                      <wps:spPr>
                        <a:xfrm>
                          <a:off x="0" y="0"/>
                          <a:ext cx="3356640" cy="8250480"/>
                        </a:xfrm>
                        <a:prstGeom prst="rect">
                          <a:avLst/>
                        </a:prstGeom>
                        <a:noFill/>
                        <a:ln>
                          <a:noFill/>
                        </a:ln>
                      </wps:spPr>
                      <wps:style>
                        <a:lnRef idx="0"/>
                        <a:fillRef idx="0"/>
                        <a:effectRef idx="0"/>
                        <a:fontRef idx="minor"/>
                      </wps:style>
                      <wps:txbx>
                        <w:txbxContent>
                          <w:p>
                            <w:pPr>
                              <w:pStyle w:val="FrameContents"/>
                              <w:rPr>
                                <w:rFonts w:ascii="Avenir Next" w:hAnsi="Avenir Next"/>
                                <w:b/>
                                <w:b/>
                              </w:rPr>
                            </w:pPr>
                            <w:r>
                              <w:rPr>
                                <w:rFonts w:ascii="Avenir Next" w:hAnsi="Avenir Next"/>
                                <w:b/>
                                <w:color w:val="auto"/>
                              </w:rPr>
                              <w:t>COMMENTARY</w:t>
                            </w:r>
                          </w:p>
                          <w:p>
                            <w:pPr>
                              <w:pStyle w:val="FrameContents"/>
                              <w:rPr>
                                <w:rFonts w:ascii="Avenir Next" w:hAnsi="Avenir Next"/>
                                <w:b/>
                                <w:b/>
                              </w:rPr>
                            </w:pPr>
                            <w:r>
                              <w:rPr>
                                <w:rFonts w:ascii="Avenir Next" w:hAnsi="Avenir Next"/>
                                <w:b/>
                                <w:color w:val="auto"/>
                              </w:rPr>
                              <w:t>Commodities</w:t>
                            </w:r>
                          </w:p>
                          <w:p>
                            <w:pPr>
                              <w:pStyle w:val="FrameContents"/>
                              <w:jc w:val="both"/>
                              <w:rPr>
                                <w:rFonts w:ascii="Avenir Next" w:hAnsi="Avenir Next"/>
                                <w:sz w:val="22"/>
                              </w:rPr>
                            </w:pPr>
                            <w:r>
                              <w:rPr>
                                <w:rFonts w:ascii="Avenir Next" w:hAnsi="Avenir Next"/>
                                <w:color w:val="auto"/>
                                <w:sz w:val="22"/>
                              </w:rPr>
                              <w:t xml:space="preserve">April is a significantly shorter trading month as compared to months, coupled with the volatility in prices, less trades were made this month. The lower than expected performance stems from losses incurred from the long positions in Nickel entered into in March. The sharp fall in Nickel prices was primarily due to developments in the Philippines – namely parliament rejecting to confirm acting environmental minister Gina Lopez. In her 10-months as acting environment minister, Ms. Duterte suspended the licenses of many miners after inspections found that they were violating environmental regulations. In February, 23 mines were ordered closed, mainly nickel producers. The suspensions were estimated to remove about 50% of the country’s nickel output, which amounted to 10% of global supply. Nickel prices, which had already rallied on the possibility of the suspensions climbed to $10,500 after the announcement. </w:t>
                            </w:r>
                          </w:p>
                          <w:p>
                            <w:pPr>
                              <w:pStyle w:val="FrameContents"/>
                              <w:jc w:val="both"/>
                              <w:rPr>
                                <w:rFonts w:ascii="Avenir Next" w:hAnsi="Avenir Next"/>
                                <w:color w:val="auto"/>
                                <w:sz w:val="22"/>
                              </w:rPr>
                            </w:pPr>
                            <w:r>
                              <w:rPr>
                                <w:rFonts w:ascii="Avenir Next" w:hAnsi="Avenir Next"/>
                                <w:color w:val="auto"/>
                                <w:sz w:val="22"/>
                              </w:rPr>
                            </w:r>
                          </w:p>
                          <w:p>
                            <w:pPr>
                              <w:pStyle w:val="FrameContents"/>
                              <w:jc w:val="both"/>
                              <w:rPr>
                                <w:rFonts w:ascii="Avenir Next" w:hAnsi="Avenir Next"/>
                                <w:sz w:val="22"/>
                              </w:rPr>
                            </w:pPr>
                            <w:r>
                              <w:rPr>
                                <w:rFonts w:ascii="Avenir Next" w:hAnsi="Avenir Next"/>
                                <w:color w:val="auto"/>
                                <w:sz w:val="22"/>
                              </w:rPr>
                              <w:t>Generally, the correction in the base metals continues, copper prices have joined nickel in breaking below recent, important, support levels so the question is will the others follow? With oil, iron ore and steel prices, also falling heavily, the path of least resistance is to the downside for now. We are not overly bearish on the outlook for global growth; some metals’ fundamentals have potentially changed, i.e. in nickel with regards to supply from the Philippines, but we generally see this weakness as coming from stale long liquidation following the rally when prices ran ahead of the fundamentals during the Trump reflation trade. We are also pretty sure it will not be a straight-line fall in prices as such we have entered into long positions to capitalise on any short-term rebounds in prices.</w:t>
                            </w:r>
                          </w:p>
                          <w:p>
                            <w:pPr>
                              <w:pStyle w:val="FrameContents"/>
                              <w:jc w:val="both"/>
                              <w:rPr>
                                <w:rFonts w:ascii="Avenir Next" w:hAnsi="Avenir Next"/>
                                <w:color w:val="auto"/>
                                <w:sz w:val="22"/>
                              </w:rPr>
                            </w:pPr>
                            <w:r>
                              <w:rPr>
                                <w:rFonts w:ascii="Avenir Next" w:hAnsi="Avenir Next"/>
                                <w:color w:val="auto"/>
                                <w:sz w:val="22"/>
                              </w:rPr>
                            </w:r>
                          </w:p>
                          <w:p>
                            <w:pPr>
                              <w:pStyle w:val="FrameContents"/>
                              <w:rPr>
                                <w:rFonts w:ascii="Avenir Next" w:hAnsi="Avenir Next"/>
                                <w:b/>
                                <w:b/>
                              </w:rPr>
                            </w:pPr>
                            <w:r>
                              <w:rPr>
                                <w:rFonts w:ascii="Avenir Next" w:hAnsi="Avenir Next"/>
                                <w:b/>
                                <w:color w:val="auto"/>
                              </w:rPr>
                              <w:t>Securities</w:t>
                            </w:r>
                          </w:p>
                          <w:p>
                            <w:pPr>
                              <w:pStyle w:val="FrameContents"/>
                              <w:jc w:val="both"/>
                              <w:rPr>
                                <w:color w:val="auto"/>
                              </w:rPr>
                            </w:pPr>
                            <w:r>
                              <w:rPr>
                                <w:rFonts w:ascii="Avenir Next" w:hAnsi="Avenir Next"/>
                                <w:color w:val="auto"/>
                                <w:sz w:val="22"/>
                              </w:rPr>
                              <w:t>After the worst start to a year ever, the stock market surged to new highs in 2016. All the major indexes rebounded to record levels and defied the doomsday forecasts that preceded events like Brexit and President-elect Donald Trump's election. The volatility looks set to conitnue into 2017. As such, our fund is adopting a wait-and-see approach before entering the market.</w:t>
                            </w:r>
                          </w:p>
                        </w:txbxContent>
                      </wps:txbx>
                      <wps:bodyPr>
                        <a:prstTxWarp prst="textNoShape"/>
                        <a:noAutofit/>
                      </wps:bodyPr>
                    </wps:wsp>
                  </a:graphicData>
                </a:graphic>
              </wp:anchor>
            </w:drawing>
          </mc:Choice>
          <mc:Fallback>
            <w:pict>
              <v:rect id="shape_0" ID="Text Box 5" stroked="f" style="position:absolute;margin-left:-41.3pt;margin-top:27.55pt;width:264.25pt;height:649.6pt" wp14:anchorId="6B9C9057">
                <w10:wrap type="square"/>
                <v:fill o:detectmouseclick="t" on="false"/>
                <v:stroke color="#3465a4" joinstyle="round" endcap="flat"/>
                <v:textbox>
                  <w:txbxContent>
                    <w:p>
                      <w:pPr>
                        <w:pStyle w:val="FrameContents"/>
                        <w:rPr>
                          <w:rFonts w:ascii="Avenir Next" w:hAnsi="Avenir Next"/>
                          <w:b/>
                          <w:b/>
                        </w:rPr>
                      </w:pPr>
                      <w:r>
                        <w:rPr>
                          <w:rFonts w:ascii="Avenir Next" w:hAnsi="Avenir Next"/>
                          <w:b/>
                          <w:color w:val="auto"/>
                        </w:rPr>
                        <w:t>COMMENTARY</w:t>
                      </w:r>
                    </w:p>
                    <w:p>
                      <w:pPr>
                        <w:pStyle w:val="FrameContents"/>
                        <w:rPr>
                          <w:rFonts w:ascii="Avenir Next" w:hAnsi="Avenir Next"/>
                          <w:b/>
                          <w:b/>
                        </w:rPr>
                      </w:pPr>
                      <w:r>
                        <w:rPr>
                          <w:rFonts w:ascii="Avenir Next" w:hAnsi="Avenir Next"/>
                          <w:b/>
                          <w:color w:val="auto"/>
                        </w:rPr>
                        <w:t>Commodities</w:t>
                      </w:r>
                    </w:p>
                    <w:p>
                      <w:pPr>
                        <w:pStyle w:val="FrameContents"/>
                        <w:jc w:val="both"/>
                        <w:rPr>
                          <w:rFonts w:ascii="Avenir Next" w:hAnsi="Avenir Next"/>
                          <w:sz w:val="22"/>
                        </w:rPr>
                      </w:pPr>
                      <w:r>
                        <w:rPr>
                          <w:rFonts w:ascii="Avenir Next" w:hAnsi="Avenir Next"/>
                          <w:color w:val="auto"/>
                          <w:sz w:val="22"/>
                        </w:rPr>
                        <w:t xml:space="preserve">April is a significantly shorter trading month as compared to months, coupled with the volatility in prices, less trades were made this month. The lower than expected performance stems from losses incurred from the long positions in Nickel entered into in March. The sharp fall in Nickel prices was primarily due to developments in the Philippines – namely parliament rejecting to confirm acting environmental minister Gina Lopez. In her 10-months as acting environment minister, Ms. Duterte suspended the licenses of many miners after inspections found that they were violating environmental regulations. In February, 23 mines were ordered closed, mainly nickel producers. The suspensions were estimated to remove about 50% of the country’s nickel output, which amounted to 10% of global supply. Nickel prices, which had already rallied on the possibility of the suspensions climbed to $10,500 after the announcement. </w:t>
                      </w:r>
                    </w:p>
                    <w:p>
                      <w:pPr>
                        <w:pStyle w:val="FrameContents"/>
                        <w:jc w:val="both"/>
                        <w:rPr>
                          <w:rFonts w:ascii="Avenir Next" w:hAnsi="Avenir Next"/>
                          <w:color w:val="auto"/>
                          <w:sz w:val="22"/>
                        </w:rPr>
                      </w:pPr>
                      <w:r>
                        <w:rPr>
                          <w:rFonts w:ascii="Avenir Next" w:hAnsi="Avenir Next"/>
                          <w:color w:val="auto"/>
                          <w:sz w:val="22"/>
                        </w:rPr>
                      </w:r>
                    </w:p>
                    <w:p>
                      <w:pPr>
                        <w:pStyle w:val="FrameContents"/>
                        <w:jc w:val="both"/>
                        <w:rPr>
                          <w:rFonts w:ascii="Avenir Next" w:hAnsi="Avenir Next"/>
                          <w:sz w:val="22"/>
                        </w:rPr>
                      </w:pPr>
                      <w:r>
                        <w:rPr>
                          <w:rFonts w:ascii="Avenir Next" w:hAnsi="Avenir Next"/>
                          <w:color w:val="auto"/>
                          <w:sz w:val="22"/>
                        </w:rPr>
                        <w:t>Generally, the correction in the base metals continues, copper prices have joined nickel in breaking below recent, important, support levels so the question is will the others follow? With oil, iron ore and steel prices, also falling heavily, the path of least resistance is to the downside for now. We are not overly bearish on the outlook for global growth; some metals’ fundamentals have potentially changed, i.e. in nickel with regards to supply from the Philippines, but we generally see this weakness as coming from stale long liquidation following the rally when prices ran ahead of the fundamentals during the Trump reflation trade. We are also pretty sure it will not be a straight-line fall in prices as such we have entered into long positions to capitalise on any short-term rebounds in prices.</w:t>
                      </w:r>
                    </w:p>
                    <w:p>
                      <w:pPr>
                        <w:pStyle w:val="FrameContents"/>
                        <w:jc w:val="both"/>
                        <w:rPr>
                          <w:rFonts w:ascii="Avenir Next" w:hAnsi="Avenir Next"/>
                          <w:color w:val="auto"/>
                          <w:sz w:val="22"/>
                        </w:rPr>
                      </w:pPr>
                      <w:r>
                        <w:rPr>
                          <w:rFonts w:ascii="Avenir Next" w:hAnsi="Avenir Next"/>
                          <w:color w:val="auto"/>
                          <w:sz w:val="22"/>
                        </w:rPr>
                      </w:r>
                    </w:p>
                    <w:p>
                      <w:pPr>
                        <w:pStyle w:val="FrameContents"/>
                        <w:rPr>
                          <w:rFonts w:ascii="Avenir Next" w:hAnsi="Avenir Next"/>
                          <w:b/>
                          <w:b/>
                        </w:rPr>
                      </w:pPr>
                      <w:r>
                        <w:rPr>
                          <w:rFonts w:ascii="Avenir Next" w:hAnsi="Avenir Next"/>
                          <w:b/>
                          <w:color w:val="auto"/>
                        </w:rPr>
                        <w:t>Securities</w:t>
                      </w:r>
                    </w:p>
                    <w:p>
                      <w:pPr>
                        <w:pStyle w:val="FrameContents"/>
                        <w:jc w:val="both"/>
                        <w:rPr>
                          <w:color w:val="auto"/>
                        </w:rPr>
                      </w:pPr>
                      <w:r>
                        <w:rPr>
                          <w:rFonts w:ascii="Avenir Next" w:hAnsi="Avenir Next"/>
                          <w:color w:val="auto"/>
                          <w:sz w:val="22"/>
                        </w:rPr>
                        <w:t>After the worst start to a year ever, the stock market surged to new highs in 2016. All the major indexes rebounded to record levels and defied the doomsday forecasts that preceded events like Brexit and President-elect Donald Trump's election. The volatility looks set to conitnue into 2017. As such, our fund is adopting a wait-and-see approach before entering the market.</w:t>
                      </w:r>
                    </w:p>
                  </w:txbxContent>
                </v:textbox>
              </v:rect>
            </w:pict>
          </mc:Fallback>
        </mc:AlternateContent>
        <mc:AlternateContent>
          <mc:Choice Requires="wps">
            <w:drawing>
              <wp:anchor behindDoc="0" distT="0" distB="0" distL="114300" distR="114300" simplePos="0" locked="0" layoutInCell="1" allowOverlap="1" relativeHeight="7" wp14:anchorId="542BB7D8">
                <wp:simplePos x="0" y="0"/>
                <wp:positionH relativeFrom="column">
                  <wp:posOffset>3215005</wp:posOffset>
                </wp:positionH>
                <wp:positionV relativeFrom="paragraph">
                  <wp:posOffset>354330</wp:posOffset>
                </wp:positionV>
                <wp:extent cx="3118485" cy="245745"/>
                <wp:effectExtent l="0" t="0" r="0" b="0"/>
                <wp:wrapSquare wrapText="bothSides"/>
                <wp:docPr id="9" name="Text Box 7"/>
                <a:graphic xmlns:a="http://schemas.openxmlformats.org/drawingml/2006/main">
                  <a:graphicData uri="http://schemas.microsoft.com/office/word/2010/wordprocessingShape">
                    <wps:wsp>
                      <wps:cNvSpPr/>
                      <wps:spPr>
                        <a:xfrm>
                          <a:off x="0" y="0"/>
                          <a:ext cx="3117960" cy="245160"/>
                        </a:xfrm>
                        <a:prstGeom prst="rect">
                          <a:avLst/>
                        </a:prstGeom>
                        <a:noFill/>
                        <a:ln>
                          <a:noFill/>
                        </a:ln>
                      </wps:spPr>
                      <wps:style>
                        <a:lnRef idx="0"/>
                        <a:fillRef idx="0"/>
                        <a:effectRef idx="0"/>
                        <a:fontRef idx="minor"/>
                      </wps:style>
                      <wps:txbx>
                        <w:txbxContent>
                          <w:p>
                            <w:pPr>
                              <w:pStyle w:val="FrameContents"/>
                              <w:rPr>
                                <w:rFonts w:ascii="Avenir Next" w:hAnsi="Avenir Next"/>
                                <w:b/>
                                <w:b/>
                                <w:color w:val="002060"/>
                                <w:szCs w:val="22"/>
                              </w:rPr>
                            </w:pPr>
                            <w:r>
                              <w:rPr>
                                <w:rFonts w:ascii="Avenir Next" w:hAnsi="Avenir Next"/>
                                <w:b/>
                                <w:color w:val="002060"/>
                                <w:szCs w:val="22"/>
                              </w:rPr>
                              <w:t>INVESTMENT OVERVIEW</w:t>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pPr>
                            <w:r>
                              <w:rPr/>
                            </w:r>
                          </w:p>
                        </w:txbxContent>
                      </wps:txbx>
                      <wps:bodyPr>
                        <a:prstTxWarp prst="textNoShape"/>
                        <a:noAutofit/>
                      </wps:bodyPr>
                    </wps:wsp>
                  </a:graphicData>
                </a:graphic>
              </wp:anchor>
            </w:drawing>
          </mc:Choice>
          <mc:Fallback>
            <w:pict>
              <v:rect id="shape_0" ID="Text Box 7" stroked="f" style="position:absolute;margin-left:253.15pt;margin-top:27.9pt;width:245.45pt;height:19.25pt" wp14:anchorId="542BB7D8">
                <w10:wrap type="square"/>
                <v:fill o:detectmouseclick="t" on="false"/>
                <v:stroke color="#3465a4" joinstyle="round" endcap="flat"/>
                <v:textbox>
                  <w:txbxContent>
                    <w:p>
                      <w:pPr>
                        <w:pStyle w:val="FrameContents"/>
                        <w:rPr>
                          <w:rFonts w:ascii="Avenir Next" w:hAnsi="Avenir Next"/>
                          <w:b/>
                          <w:b/>
                          <w:color w:val="002060"/>
                          <w:szCs w:val="22"/>
                        </w:rPr>
                      </w:pPr>
                      <w:r>
                        <w:rPr>
                          <w:rFonts w:ascii="Avenir Next" w:hAnsi="Avenir Next"/>
                          <w:b/>
                          <w:color w:val="002060"/>
                          <w:szCs w:val="22"/>
                        </w:rPr>
                        <w:t>INVESTMENT OVERVIEW</w:t>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pPr>
                      <w:r>
                        <w:rPr/>
                      </w:r>
                    </w:p>
                  </w:txbxContent>
                </v:textbox>
              </v:rect>
            </w:pict>
          </mc:Fallback>
        </mc:AlternateContent>
        <mc:AlternateContent>
          <mc:Choice Requires="wps">
            <w:drawing>
              <wp:anchor behindDoc="0" distT="0" distB="0" distL="114300" distR="114300" simplePos="0" locked="0" layoutInCell="1" allowOverlap="1" relativeHeight="8" wp14:anchorId="028CCEEB">
                <wp:simplePos x="0" y="0"/>
                <wp:positionH relativeFrom="column">
                  <wp:posOffset>2985135</wp:posOffset>
                </wp:positionH>
                <wp:positionV relativeFrom="paragraph">
                  <wp:posOffset>726440</wp:posOffset>
                </wp:positionV>
                <wp:extent cx="3359150" cy="2159635"/>
                <wp:effectExtent l="0" t="0" r="0" b="0"/>
                <wp:wrapThrough wrapText="bothSides">
                  <wp:wrapPolygon edited="0">
                    <wp:start x="0" y="0"/>
                    <wp:lineTo x="0" y="21600"/>
                    <wp:lineTo x="21563" y="21600"/>
                    <wp:lineTo x="21563" y="0"/>
                    <wp:lineTo x="0" y="0"/>
                  </wp:wrapPolygon>
                </wp:wrapThrough>
                <wp:docPr id="11" name="Rectangle 14"/>
                <a:graphic xmlns:a="http://schemas.openxmlformats.org/drawingml/2006/main">
                  <a:graphicData uri="http://schemas.microsoft.com/office/word/2010/wordprocessingShape">
                    <wps:wsp>
                      <wps:cNvSpPr/>
                      <wps:spPr>
                        <a:xfrm>
                          <a:off x="0" y="0"/>
                          <a:ext cx="3358440" cy="2158920"/>
                        </a:xfrm>
                        <a:prstGeom prst="rect">
                          <a:avLst/>
                        </a:prstGeom>
                        <a:solidFill>
                          <a:srgbClr val="002041"/>
                        </a:solidFill>
                        <a:ln w="12600">
                          <a:solidFill>
                            <a:srgbClr val="43729d"/>
                          </a:solidFill>
                          <a:miter/>
                        </a:ln>
                      </wps:spPr>
                      <wps:style>
                        <a:lnRef idx="0"/>
                        <a:fillRef idx="0"/>
                        <a:effectRef idx="0"/>
                        <a:fontRef idx="minor"/>
                      </wps:style>
                      <wps:bodyPr/>
                    </wps:wsp>
                  </a:graphicData>
                </a:graphic>
              </wp:anchor>
            </w:drawing>
          </mc:Choice>
          <mc:Fallback>
            <w:pict>
              <v:rect id="shape_0" ID="Rectangle 14" fillcolor="#002041" stroked="t" style="position:absolute;margin-left:235.05pt;margin-top:57.2pt;width:264.4pt;height:169.95pt" wp14:anchorId="028CCEEB">
                <w10:wrap type="none"/>
                <v:fill o:detectmouseclick="t" type="solid" color2="#ffdfbe"/>
                <v:stroke color="#43729d" weight="12600" joinstyle="miter" endcap="flat"/>
              </v:rect>
            </w:pict>
          </mc:Fallback>
        </mc:AlternateContent>
        <mc:AlternateContent>
          <mc:Choice Requires="wps">
            <w:drawing>
              <wp:anchor behindDoc="0" distT="0" distB="0" distL="114300" distR="114300" simplePos="0" locked="0" layoutInCell="1" allowOverlap="1" relativeHeight="9" wp14:anchorId="4136DC83">
                <wp:simplePos x="0" y="0"/>
                <wp:positionH relativeFrom="column">
                  <wp:posOffset>3293110</wp:posOffset>
                </wp:positionH>
                <wp:positionV relativeFrom="paragraph">
                  <wp:posOffset>3010535</wp:posOffset>
                </wp:positionV>
                <wp:extent cx="3192145" cy="4826635"/>
                <wp:effectExtent l="0" t="0" r="0" b="0"/>
                <wp:wrapSquare wrapText="bothSides"/>
                <wp:docPr id="12" name="Text Box 17"/>
                <a:graphic xmlns:a="http://schemas.openxmlformats.org/drawingml/2006/main">
                  <a:graphicData uri="http://schemas.microsoft.com/office/word/2010/wordprocessingShape">
                    <wps:wsp>
                      <wps:cNvSpPr/>
                      <wps:spPr>
                        <a:xfrm>
                          <a:off x="0" y="0"/>
                          <a:ext cx="3191400" cy="4826160"/>
                        </a:xfrm>
                        <a:prstGeom prst="rect">
                          <a:avLst/>
                        </a:prstGeom>
                        <a:noFill/>
                        <a:ln>
                          <a:noFill/>
                        </a:ln>
                      </wps:spPr>
                      <wps:style>
                        <a:lnRef idx="0"/>
                        <a:fillRef idx="0"/>
                        <a:effectRef idx="0"/>
                        <a:fontRef idx="minor"/>
                      </wps:style>
                      <wps:txbx>
                        <w:txbxContent>
                          <w:p>
                            <w:pPr>
                              <w:pStyle w:val="FrameContents"/>
                              <w:rPr>
                                <w:rFonts w:ascii="Avenir Next" w:hAnsi="Avenir Next"/>
                                <w:b/>
                                <w:b/>
                                <w:color w:val="002060"/>
                                <w:szCs w:val="22"/>
                              </w:rPr>
                            </w:pPr>
                            <w:r>
                              <w:rPr>
                                <w:rFonts w:ascii="Avenir Next" w:hAnsi="Avenir Next"/>
                                <w:b/>
                                <w:color w:val="002060"/>
                                <w:szCs w:val="22"/>
                              </w:rPr>
                              <w:t xml:space="preserve">Balance Brought Forward From 30 April 2017 </w:t>
                            </w:r>
                          </w:p>
                          <w:p>
                            <w:pPr>
                              <w:pStyle w:val="FrameContents"/>
                              <w:rPr>
                                <w:rFonts w:ascii="Avenir Next" w:hAnsi="Avenir Next"/>
                                <w:b/>
                                <w:b/>
                                <w:color w:val="002060"/>
                                <w:sz w:val="20"/>
                                <w:szCs w:val="22"/>
                              </w:rPr>
                            </w:pPr>
                            <w:r>
                              <w:rPr>
                                <w:rFonts w:ascii="Avenir Next" w:hAnsi="Avenir Next"/>
                                <w:b/>
                                <w:color w:val="002060"/>
                                <w:sz w:val="20"/>
                                <w:szCs w:val="22"/>
                              </w:rPr>
                            </w:r>
                          </w:p>
                          <w:p>
                            <w:pPr>
                              <w:pStyle w:val="FrameContents"/>
                              <w:rPr>
                                <w:rFonts w:ascii="Avenir Next" w:hAnsi="Avenir Next"/>
                                <w:b/>
                                <w:b/>
                                <w:color w:val="FFFFFF"/>
                                <w:sz w:val="56"/>
                                <w:szCs w:val="22"/>
                              </w:rPr>
                            </w:pPr>
                            <w:r>
                              <w:rPr>
                                <w:rFonts w:ascii="Avenir Next" w:hAnsi="Avenir Next"/>
                                <w:b/>
                                <w:color w:val="FFFFFF"/>
                                <w:sz w:val="56"/>
                                <w:szCs w:val="22"/>
                              </w:rPr>
                              <w:t>S$3,605,025.50</w:t>
                            </w:r>
                          </w:p>
                          <w:p>
                            <w:pPr>
                              <w:pStyle w:val="FrameContents"/>
                              <w:rPr>
                                <w:rFonts w:ascii="Avenir Next" w:hAnsi="Avenir Next"/>
                                <w:b/>
                                <w:b/>
                                <w:color w:val="002060"/>
                                <w:szCs w:val="22"/>
                              </w:rPr>
                            </w:pPr>
                            <w:r>
                              <w:rPr>
                                <w:rFonts w:ascii="Avenir Next" w:hAnsi="Avenir Next"/>
                                <w:b/>
                                <w:color w:val="002060"/>
                                <w:szCs w:val="22"/>
                              </w:rPr>
                            </w:r>
                          </w:p>
                          <w:p>
                            <w:pPr>
                              <w:pStyle w:val="FrameContents"/>
                              <w:rPr>
                                <w:rFonts w:ascii="Avenir Next" w:hAnsi="Avenir Next"/>
                                <w:b/>
                                <w:b/>
                                <w:color w:val="002060"/>
                                <w:szCs w:val="22"/>
                              </w:rPr>
                            </w:pPr>
                            <w:r>
                              <w:rPr>
                                <w:rFonts w:ascii="Avenir Next" w:hAnsi="Avenir Next"/>
                                <w:b/>
                                <w:color w:val="002060"/>
                                <w:szCs w:val="22"/>
                              </w:rPr>
                              <w:t xml:space="preserve">Net Profit In May 2017: </w:t>
                            </w:r>
                          </w:p>
                          <w:p>
                            <w:pPr>
                              <w:pStyle w:val="FrameContents"/>
                              <w:rPr>
                                <w:rFonts w:ascii="Avenir Next" w:hAnsi="Avenir Next"/>
                                <w:b/>
                                <w:b/>
                                <w:color w:val="002060"/>
                                <w:sz w:val="20"/>
                                <w:szCs w:val="22"/>
                              </w:rPr>
                            </w:pPr>
                            <w:r>
                              <w:rPr>
                                <w:rFonts w:ascii="Avenir Next" w:hAnsi="Avenir Next"/>
                                <w:b/>
                                <w:color w:val="002060"/>
                                <w:sz w:val="20"/>
                                <w:szCs w:val="22"/>
                              </w:rPr>
                            </w:r>
                          </w:p>
                          <w:p>
                            <w:pPr>
                              <w:pStyle w:val="FrameContents"/>
                              <w:rPr>
                                <w:rFonts w:ascii="Avenir Next" w:hAnsi="Avenir Next"/>
                                <w:b/>
                                <w:b/>
                                <w:color w:val="FFFFFF"/>
                                <w:sz w:val="56"/>
                                <w:szCs w:val="22"/>
                              </w:rPr>
                            </w:pPr>
                            <w:r>
                              <w:rPr>
                                <w:rFonts w:ascii="Avenir Next" w:hAnsi="Avenir Next"/>
                                <w:b/>
                                <w:color w:val="FFFFFF"/>
                                <w:sz w:val="56"/>
                                <w:szCs w:val="22"/>
                              </w:rPr>
                              <w:t>S$279,486.67</w:t>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b/>
                                <w:b/>
                                <w:color w:val="002060"/>
                                <w:szCs w:val="22"/>
                              </w:rPr>
                            </w:pPr>
                            <w:r>
                              <w:rPr>
                                <w:rFonts w:ascii="Avenir Next" w:hAnsi="Avenir Next"/>
                                <w:b/>
                                <w:color w:val="002060"/>
                                <w:szCs w:val="22"/>
                              </w:rPr>
                              <w:t xml:space="preserve">Account Movement In May 2017: </w:t>
                            </w:r>
                          </w:p>
                          <w:p>
                            <w:pPr>
                              <w:pStyle w:val="FrameContents"/>
                              <w:rPr>
                                <w:rFonts w:ascii="Avenir Next" w:hAnsi="Avenir Next"/>
                                <w:b/>
                                <w:b/>
                                <w:color w:val="002060"/>
                                <w:sz w:val="20"/>
                                <w:szCs w:val="22"/>
                              </w:rPr>
                            </w:pPr>
                            <w:r>
                              <w:rPr>
                                <w:rFonts w:ascii="Avenir Next" w:hAnsi="Avenir Next"/>
                                <w:b/>
                                <w:color w:val="002060"/>
                                <w:sz w:val="20"/>
                                <w:szCs w:val="22"/>
                              </w:rPr>
                            </w:r>
                          </w:p>
                          <w:p>
                            <w:pPr>
                              <w:pStyle w:val="FrameContents"/>
                              <w:rPr>
                                <w:rFonts w:ascii="Avenir Next" w:hAnsi="Avenir Next"/>
                                <w:b/>
                                <w:b/>
                                <w:color w:val="FFFFFF"/>
                                <w:sz w:val="56"/>
                                <w:szCs w:val="22"/>
                              </w:rPr>
                            </w:pPr>
                            <w:r>
                              <w:rPr>
                                <w:rFonts w:ascii="Avenir Next" w:hAnsi="Avenir Next"/>
                                <w:b/>
                                <w:color w:val="FFFFFF"/>
                                <w:sz w:val="56"/>
                                <w:szCs w:val="22"/>
                              </w:rPr>
                              <w:t>S$279,491.38</w:t>
                            </w:r>
                          </w:p>
                          <w:p>
                            <w:pPr>
                              <w:pStyle w:val="FrameContents"/>
                              <w:rPr>
                                <w:rFonts w:ascii="Avenir Next" w:hAnsi="Avenir Next"/>
                                <w:i/>
                                <w:i/>
                                <w:color w:val="002041"/>
                                <w:szCs w:val="22"/>
                              </w:rPr>
                            </w:pPr>
                            <w:r>
                              <w:rPr>
                                <w:rFonts w:ascii="Avenir Next" w:hAnsi="Avenir Next"/>
                                <w:i/>
                                <w:color w:val="002041"/>
                                <w:szCs w:val="22"/>
                              </w:rPr>
                            </w:r>
                          </w:p>
                          <w:p>
                            <w:pPr>
                              <w:pStyle w:val="FrameContents"/>
                              <w:rPr>
                                <w:rFonts w:ascii="Avenir Next" w:hAnsi="Avenir Next"/>
                                <w:color w:val="002041"/>
                                <w:szCs w:val="22"/>
                              </w:rPr>
                            </w:pPr>
                            <w:r>
                              <w:rPr>
                                <w:rFonts w:ascii="Avenir Next" w:hAnsi="Avenir Next"/>
                                <w:i/>
                                <w:color w:val="002041"/>
                                <w:szCs w:val="22"/>
                              </w:rPr>
                              <w:t>Debits:</w:t>
                            </w:r>
                            <w:r>
                              <w:rPr>
                                <w:rFonts w:ascii="Avenir Next" w:hAnsi="Avenir Next"/>
                                <w:color w:val="002041"/>
                                <w:szCs w:val="22"/>
                              </w:rPr>
                              <w:t xml:space="preserve"> </w:t>
                              <w:tab/>
                              <w:t>S$ 1,375,475.56</w:t>
                            </w:r>
                          </w:p>
                          <w:p>
                            <w:pPr>
                              <w:pStyle w:val="FrameContents"/>
                              <w:rPr>
                                <w:rFonts w:ascii="Avenir Next" w:hAnsi="Avenir Next"/>
                                <w:color w:val="002041"/>
                                <w:szCs w:val="22"/>
                              </w:rPr>
                            </w:pPr>
                            <w:r>
                              <w:rPr>
                                <w:rFonts w:ascii="Avenir Next" w:hAnsi="Avenir Next"/>
                                <w:i/>
                                <w:color w:val="002041"/>
                                <w:szCs w:val="22"/>
                              </w:rPr>
                              <w:t>Credits:</w:t>
                            </w:r>
                            <w:r>
                              <w:rPr>
                                <w:rFonts w:ascii="Avenir Next" w:hAnsi="Avenir Next"/>
                                <w:color w:val="002041"/>
                                <w:szCs w:val="22"/>
                              </w:rPr>
                              <w:tab/>
                              <w:t>S$ 1,654,966.94</w:t>
                            </w:r>
                          </w:p>
                          <w:p>
                            <w:pPr>
                              <w:pStyle w:val="FrameContents"/>
                              <w:rPr/>
                            </w:pPr>
                            <w:r>
                              <w:rPr>
                                <w:rFonts w:ascii="Avenir Next" w:hAnsi="Avenir Next"/>
                                <w:color w:val="002041"/>
                                <w:szCs w:val="22"/>
                              </w:rPr>
                              <w:tab/>
                              <w:tab/>
                            </w:r>
                          </w:p>
                        </w:txbxContent>
                      </wps:txbx>
                      <wps:bodyPr>
                        <a:prstTxWarp prst="textNoShape"/>
                        <a:noAutofit/>
                      </wps:bodyPr>
                    </wps:wsp>
                  </a:graphicData>
                </a:graphic>
              </wp:anchor>
            </w:drawing>
          </mc:Choice>
          <mc:Fallback>
            <w:pict>
              <v:rect id="shape_0" ID="Text Box 17" stroked="f" style="position:absolute;margin-left:259.3pt;margin-top:237.05pt;width:251.25pt;height:379.95pt" wp14:anchorId="4136DC83">
                <w10:wrap type="square"/>
                <v:fill o:detectmouseclick="t" on="false"/>
                <v:stroke color="#3465a4" joinstyle="round" endcap="flat"/>
                <v:textbox>
                  <w:txbxContent>
                    <w:p>
                      <w:pPr>
                        <w:pStyle w:val="FrameContents"/>
                        <w:rPr>
                          <w:rFonts w:ascii="Avenir Next" w:hAnsi="Avenir Next"/>
                          <w:b/>
                          <w:b/>
                          <w:color w:val="002060"/>
                          <w:szCs w:val="22"/>
                        </w:rPr>
                      </w:pPr>
                      <w:r>
                        <w:rPr>
                          <w:rFonts w:ascii="Avenir Next" w:hAnsi="Avenir Next"/>
                          <w:b/>
                          <w:color w:val="002060"/>
                          <w:szCs w:val="22"/>
                        </w:rPr>
                        <w:t xml:space="preserve">Balance Brought Forward From 30 April 2017 </w:t>
                      </w:r>
                    </w:p>
                    <w:p>
                      <w:pPr>
                        <w:pStyle w:val="FrameContents"/>
                        <w:rPr>
                          <w:rFonts w:ascii="Avenir Next" w:hAnsi="Avenir Next"/>
                          <w:b/>
                          <w:b/>
                          <w:color w:val="002060"/>
                          <w:sz w:val="20"/>
                          <w:szCs w:val="22"/>
                        </w:rPr>
                      </w:pPr>
                      <w:r>
                        <w:rPr>
                          <w:rFonts w:ascii="Avenir Next" w:hAnsi="Avenir Next"/>
                          <w:b/>
                          <w:color w:val="002060"/>
                          <w:sz w:val="20"/>
                          <w:szCs w:val="22"/>
                        </w:rPr>
                      </w:r>
                    </w:p>
                    <w:p>
                      <w:pPr>
                        <w:pStyle w:val="FrameContents"/>
                        <w:rPr>
                          <w:rFonts w:ascii="Avenir Next" w:hAnsi="Avenir Next"/>
                          <w:b/>
                          <w:b/>
                          <w:color w:val="FFFFFF"/>
                          <w:sz w:val="56"/>
                          <w:szCs w:val="22"/>
                        </w:rPr>
                      </w:pPr>
                      <w:r>
                        <w:rPr>
                          <w:rFonts w:ascii="Avenir Next" w:hAnsi="Avenir Next"/>
                          <w:b/>
                          <w:color w:val="FFFFFF"/>
                          <w:sz w:val="56"/>
                          <w:szCs w:val="22"/>
                        </w:rPr>
                        <w:t>S$3,605,025.50</w:t>
                      </w:r>
                    </w:p>
                    <w:p>
                      <w:pPr>
                        <w:pStyle w:val="FrameContents"/>
                        <w:rPr>
                          <w:rFonts w:ascii="Avenir Next" w:hAnsi="Avenir Next"/>
                          <w:b/>
                          <w:b/>
                          <w:color w:val="002060"/>
                          <w:szCs w:val="22"/>
                        </w:rPr>
                      </w:pPr>
                      <w:r>
                        <w:rPr>
                          <w:rFonts w:ascii="Avenir Next" w:hAnsi="Avenir Next"/>
                          <w:b/>
                          <w:color w:val="002060"/>
                          <w:szCs w:val="22"/>
                        </w:rPr>
                      </w:r>
                    </w:p>
                    <w:p>
                      <w:pPr>
                        <w:pStyle w:val="FrameContents"/>
                        <w:rPr>
                          <w:rFonts w:ascii="Avenir Next" w:hAnsi="Avenir Next"/>
                          <w:b/>
                          <w:b/>
                          <w:color w:val="002060"/>
                          <w:szCs w:val="22"/>
                        </w:rPr>
                      </w:pPr>
                      <w:r>
                        <w:rPr>
                          <w:rFonts w:ascii="Avenir Next" w:hAnsi="Avenir Next"/>
                          <w:b/>
                          <w:color w:val="002060"/>
                          <w:szCs w:val="22"/>
                        </w:rPr>
                        <w:t xml:space="preserve">Net Profit In May 2017: </w:t>
                      </w:r>
                    </w:p>
                    <w:p>
                      <w:pPr>
                        <w:pStyle w:val="FrameContents"/>
                        <w:rPr>
                          <w:rFonts w:ascii="Avenir Next" w:hAnsi="Avenir Next"/>
                          <w:b/>
                          <w:b/>
                          <w:color w:val="002060"/>
                          <w:sz w:val="20"/>
                          <w:szCs w:val="22"/>
                        </w:rPr>
                      </w:pPr>
                      <w:r>
                        <w:rPr>
                          <w:rFonts w:ascii="Avenir Next" w:hAnsi="Avenir Next"/>
                          <w:b/>
                          <w:color w:val="002060"/>
                          <w:sz w:val="20"/>
                          <w:szCs w:val="22"/>
                        </w:rPr>
                      </w:r>
                    </w:p>
                    <w:p>
                      <w:pPr>
                        <w:pStyle w:val="FrameContents"/>
                        <w:rPr>
                          <w:rFonts w:ascii="Avenir Next" w:hAnsi="Avenir Next"/>
                          <w:b/>
                          <w:b/>
                          <w:color w:val="FFFFFF"/>
                          <w:sz w:val="56"/>
                          <w:szCs w:val="22"/>
                        </w:rPr>
                      </w:pPr>
                      <w:r>
                        <w:rPr>
                          <w:rFonts w:ascii="Avenir Next" w:hAnsi="Avenir Next"/>
                          <w:b/>
                          <w:color w:val="FFFFFF"/>
                          <w:sz w:val="56"/>
                          <w:szCs w:val="22"/>
                        </w:rPr>
                        <w:t>S$279,486.67</w:t>
                      </w:r>
                    </w:p>
                    <w:p>
                      <w:pPr>
                        <w:pStyle w:val="FrameContents"/>
                        <w:rPr>
                          <w:rFonts w:ascii="Avenir Next" w:hAnsi="Avenir Next"/>
                          <w:color w:val="002060"/>
                          <w:sz w:val="22"/>
                          <w:szCs w:val="22"/>
                        </w:rPr>
                      </w:pPr>
                      <w:r>
                        <w:rPr>
                          <w:rFonts w:ascii="Avenir Next" w:hAnsi="Avenir Next"/>
                          <w:color w:val="002060"/>
                          <w:sz w:val="22"/>
                          <w:szCs w:val="22"/>
                        </w:rPr>
                      </w:r>
                    </w:p>
                    <w:p>
                      <w:pPr>
                        <w:pStyle w:val="FrameContents"/>
                        <w:rPr>
                          <w:rFonts w:ascii="Avenir Next" w:hAnsi="Avenir Next"/>
                          <w:b/>
                          <w:b/>
                          <w:color w:val="002060"/>
                          <w:szCs w:val="22"/>
                        </w:rPr>
                      </w:pPr>
                      <w:r>
                        <w:rPr>
                          <w:rFonts w:ascii="Avenir Next" w:hAnsi="Avenir Next"/>
                          <w:b/>
                          <w:color w:val="002060"/>
                          <w:szCs w:val="22"/>
                        </w:rPr>
                        <w:t xml:space="preserve">Account Movement In May 2017: </w:t>
                      </w:r>
                    </w:p>
                    <w:p>
                      <w:pPr>
                        <w:pStyle w:val="FrameContents"/>
                        <w:rPr>
                          <w:rFonts w:ascii="Avenir Next" w:hAnsi="Avenir Next"/>
                          <w:b/>
                          <w:b/>
                          <w:color w:val="002060"/>
                          <w:sz w:val="20"/>
                          <w:szCs w:val="22"/>
                        </w:rPr>
                      </w:pPr>
                      <w:r>
                        <w:rPr>
                          <w:rFonts w:ascii="Avenir Next" w:hAnsi="Avenir Next"/>
                          <w:b/>
                          <w:color w:val="002060"/>
                          <w:sz w:val="20"/>
                          <w:szCs w:val="22"/>
                        </w:rPr>
                      </w:r>
                    </w:p>
                    <w:p>
                      <w:pPr>
                        <w:pStyle w:val="FrameContents"/>
                        <w:rPr>
                          <w:rFonts w:ascii="Avenir Next" w:hAnsi="Avenir Next"/>
                          <w:b/>
                          <w:b/>
                          <w:color w:val="FFFFFF"/>
                          <w:sz w:val="56"/>
                          <w:szCs w:val="22"/>
                        </w:rPr>
                      </w:pPr>
                      <w:r>
                        <w:rPr>
                          <w:rFonts w:ascii="Avenir Next" w:hAnsi="Avenir Next"/>
                          <w:b/>
                          <w:color w:val="FFFFFF"/>
                          <w:sz w:val="56"/>
                          <w:szCs w:val="22"/>
                        </w:rPr>
                        <w:t>S$279,491.38</w:t>
                      </w:r>
                    </w:p>
                    <w:p>
                      <w:pPr>
                        <w:pStyle w:val="FrameContents"/>
                        <w:rPr>
                          <w:rFonts w:ascii="Avenir Next" w:hAnsi="Avenir Next"/>
                          <w:i/>
                          <w:i/>
                          <w:color w:val="002041"/>
                          <w:szCs w:val="22"/>
                        </w:rPr>
                      </w:pPr>
                      <w:r>
                        <w:rPr>
                          <w:rFonts w:ascii="Avenir Next" w:hAnsi="Avenir Next"/>
                          <w:i/>
                          <w:color w:val="002041"/>
                          <w:szCs w:val="22"/>
                        </w:rPr>
                      </w:r>
                    </w:p>
                    <w:p>
                      <w:pPr>
                        <w:pStyle w:val="FrameContents"/>
                        <w:rPr>
                          <w:rFonts w:ascii="Avenir Next" w:hAnsi="Avenir Next"/>
                          <w:color w:val="002041"/>
                          <w:szCs w:val="22"/>
                        </w:rPr>
                      </w:pPr>
                      <w:r>
                        <w:rPr>
                          <w:rFonts w:ascii="Avenir Next" w:hAnsi="Avenir Next"/>
                          <w:i/>
                          <w:color w:val="002041"/>
                          <w:szCs w:val="22"/>
                        </w:rPr>
                        <w:t>Debits:</w:t>
                      </w:r>
                      <w:r>
                        <w:rPr>
                          <w:rFonts w:ascii="Avenir Next" w:hAnsi="Avenir Next"/>
                          <w:color w:val="002041"/>
                          <w:szCs w:val="22"/>
                        </w:rPr>
                        <w:t xml:space="preserve"> </w:t>
                        <w:tab/>
                        <w:t>S$ 1,375,475.56</w:t>
                      </w:r>
                    </w:p>
                    <w:p>
                      <w:pPr>
                        <w:pStyle w:val="FrameContents"/>
                        <w:rPr>
                          <w:rFonts w:ascii="Avenir Next" w:hAnsi="Avenir Next"/>
                          <w:color w:val="002041"/>
                          <w:szCs w:val="22"/>
                        </w:rPr>
                      </w:pPr>
                      <w:r>
                        <w:rPr>
                          <w:rFonts w:ascii="Avenir Next" w:hAnsi="Avenir Next"/>
                          <w:i/>
                          <w:color w:val="002041"/>
                          <w:szCs w:val="22"/>
                        </w:rPr>
                        <w:t>Credits:</w:t>
                      </w:r>
                      <w:r>
                        <w:rPr>
                          <w:rFonts w:ascii="Avenir Next" w:hAnsi="Avenir Next"/>
                          <w:color w:val="002041"/>
                          <w:szCs w:val="22"/>
                        </w:rPr>
                        <w:tab/>
                        <w:t>S$ 1,654,966.94</w:t>
                      </w:r>
                    </w:p>
                    <w:p>
                      <w:pPr>
                        <w:pStyle w:val="FrameContents"/>
                        <w:rPr/>
                      </w:pPr>
                      <w:r>
                        <w:rPr>
                          <w:rFonts w:ascii="Avenir Next" w:hAnsi="Avenir Next"/>
                          <w:color w:val="002041"/>
                          <w:szCs w:val="22"/>
                        </w:rPr>
                        <w:tab/>
                        <w:tab/>
                      </w:r>
                    </w:p>
                  </w:txbxContent>
                </v:textbox>
              </v:rect>
            </w:pict>
          </mc:Fallback>
        </mc:AlternateContent>
        <mc:AlternateContent>
          <mc:Choice Requires="wps">
            <w:drawing>
              <wp:anchor behindDoc="0" distT="0" distB="0" distL="114300" distR="114300" simplePos="0" locked="0" layoutInCell="1" allowOverlap="1" relativeHeight="10" wp14:anchorId="7ECA71BC">
                <wp:simplePos x="0" y="0"/>
                <wp:positionH relativeFrom="column">
                  <wp:posOffset>3058795</wp:posOffset>
                </wp:positionH>
                <wp:positionV relativeFrom="paragraph">
                  <wp:posOffset>1490980</wp:posOffset>
                </wp:positionV>
                <wp:extent cx="3282950" cy="256540"/>
                <wp:effectExtent l="0" t="0" r="0" b="0"/>
                <wp:wrapSquare wrapText="bothSides"/>
                <wp:docPr id="14" name="Text Box 18"/>
                <a:graphic xmlns:a="http://schemas.openxmlformats.org/drawingml/2006/main">
                  <a:graphicData uri="http://schemas.microsoft.com/office/word/2010/wordprocessingShape">
                    <wps:wsp>
                      <wps:cNvSpPr/>
                      <wps:spPr>
                        <a:xfrm>
                          <a:off x="0" y="0"/>
                          <a:ext cx="3282480" cy="255960"/>
                        </a:xfrm>
                        <a:prstGeom prst="rect">
                          <a:avLst/>
                        </a:prstGeom>
                        <a:noFill/>
                        <a:ln>
                          <a:noFill/>
                        </a:ln>
                      </wps:spPr>
                      <wps:style>
                        <a:lnRef idx="0"/>
                        <a:fillRef idx="0"/>
                        <a:effectRef idx="0"/>
                        <a:fontRef idx="minor"/>
                      </wps:style>
                      <wps:txbx>
                        <w:txbxContent>
                          <w:p>
                            <w:pPr>
                              <w:pStyle w:val="FrameContents"/>
                              <w:rPr>
                                <w:rFonts w:ascii="Avenir Next" w:hAnsi="Avenir Next"/>
                                <w:b/>
                                <w:b/>
                                <w:color w:val="FFFFFF"/>
                                <w:szCs w:val="22"/>
                              </w:rPr>
                            </w:pPr>
                            <w:r>
                              <w:rPr>
                                <w:rFonts w:ascii="Avenir Next" w:hAnsi="Avenir Next"/>
                                <w:b/>
                                <w:color w:val="FFFFFF"/>
                                <w:szCs w:val="22"/>
                              </w:rPr>
                              <w:t xml:space="preserve">Total Investment Value as at 31 May 2017 </w:t>
                            </w:r>
                          </w:p>
                          <w:p>
                            <w:pPr>
                              <w:pStyle w:val="FrameContents"/>
                              <w:rPr/>
                            </w:pPr>
                            <w:r>
                              <w:rPr/>
                            </w:r>
                          </w:p>
                        </w:txbxContent>
                      </wps:txbx>
                      <wps:bodyPr>
                        <a:prstTxWarp prst="textNoShape"/>
                        <a:noAutofit/>
                      </wps:bodyPr>
                    </wps:wsp>
                  </a:graphicData>
                </a:graphic>
              </wp:anchor>
            </w:drawing>
          </mc:Choice>
          <mc:Fallback>
            <w:pict>
              <v:rect id="shape_0" ID="Text Box 18" stroked="f" style="position:absolute;margin-left:240.85pt;margin-top:117.4pt;width:258.4pt;height:20.1pt" wp14:anchorId="7ECA71BC">
                <w10:wrap type="square"/>
                <v:fill o:detectmouseclick="t" on="false"/>
                <v:stroke color="#3465a4" joinstyle="round" endcap="flat"/>
                <v:textbox>
                  <w:txbxContent>
                    <w:p>
                      <w:pPr>
                        <w:pStyle w:val="FrameContents"/>
                        <w:rPr>
                          <w:rFonts w:ascii="Avenir Next" w:hAnsi="Avenir Next"/>
                          <w:b/>
                          <w:b/>
                          <w:color w:val="FFFFFF"/>
                          <w:szCs w:val="22"/>
                        </w:rPr>
                      </w:pPr>
                      <w:r>
                        <w:rPr>
                          <w:rFonts w:ascii="Avenir Next" w:hAnsi="Avenir Next"/>
                          <w:b/>
                          <w:color w:val="FFFFFF"/>
                          <w:szCs w:val="22"/>
                        </w:rPr>
                        <w:t xml:space="preserve">Total Investment Value as at 31 May 2017 </w:t>
                      </w:r>
                    </w:p>
                    <w:p>
                      <w:pPr>
                        <w:pStyle w:val="FrameContents"/>
                        <w:rPr/>
                      </w:pPr>
                      <w:r>
                        <w:rPr/>
                      </w:r>
                    </w:p>
                  </w:txbxContent>
                </v:textbox>
              </v:rect>
            </w:pict>
          </mc:Fallback>
        </mc:AlternateContent>
        <mc:AlternateContent>
          <mc:Choice Requires="wps">
            <w:drawing>
              <wp:anchor behindDoc="0" distT="0" distB="0" distL="114300" distR="114300" simplePos="0" locked="0" layoutInCell="1" allowOverlap="1" relativeHeight="11" wp14:anchorId="656D2725">
                <wp:simplePos x="0" y="0"/>
                <wp:positionH relativeFrom="column">
                  <wp:posOffset>2985135</wp:posOffset>
                </wp:positionH>
                <wp:positionV relativeFrom="paragraph">
                  <wp:posOffset>974090</wp:posOffset>
                </wp:positionV>
                <wp:extent cx="3359150" cy="641985"/>
                <wp:effectExtent l="0" t="0" r="0" b="0"/>
                <wp:wrapSquare wrapText="bothSides"/>
                <wp:docPr id="16" name="Text Box 22"/>
                <a:graphic xmlns:a="http://schemas.openxmlformats.org/drawingml/2006/main">
                  <a:graphicData uri="http://schemas.microsoft.com/office/word/2010/wordprocessingShape">
                    <wps:wsp>
                      <wps:cNvSpPr/>
                      <wps:spPr>
                        <a:xfrm>
                          <a:off x="0" y="0"/>
                          <a:ext cx="3358440" cy="641520"/>
                        </a:xfrm>
                        <a:prstGeom prst="rect">
                          <a:avLst/>
                        </a:prstGeom>
                        <a:noFill/>
                        <a:ln>
                          <a:noFill/>
                        </a:ln>
                      </wps:spPr>
                      <wps:style>
                        <a:lnRef idx="0"/>
                        <a:fillRef idx="0"/>
                        <a:effectRef idx="0"/>
                        <a:fontRef idx="minor"/>
                      </wps:style>
                      <wps:txbx>
                        <w:txbxContent>
                          <w:p>
                            <w:pPr>
                              <w:pStyle w:val="FrameContents"/>
                              <w:jc w:val="center"/>
                              <w:rPr>
                                <w:rFonts w:ascii="Avenir Next" w:hAnsi="Avenir Next"/>
                                <w:b/>
                                <w:b/>
                                <w:color w:val="FFFFFF"/>
                                <w:sz w:val="72"/>
                                <w:szCs w:val="68"/>
                              </w:rPr>
                            </w:pPr>
                            <w:r>
                              <w:rPr>
                                <w:rFonts w:ascii="Avenir Next" w:hAnsi="Avenir Next"/>
                                <w:b/>
                                <w:color w:val="FFFFFF"/>
                                <w:sz w:val="72"/>
                                <w:szCs w:val="68"/>
                              </w:rPr>
                              <w:t>S$3,684,409.08</w:t>
                            </w:r>
                          </w:p>
                          <w:p>
                            <w:pPr>
                              <w:pStyle w:val="FrameContents"/>
                              <w:rPr/>
                            </w:pPr>
                            <w:r>
                              <w:rPr/>
                            </w:r>
                          </w:p>
                        </w:txbxContent>
                      </wps:txbx>
                      <wps:bodyPr>
                        <a:prstTxWarp prst="textNoShape"/>
                        <a:noAutofit/>
                      </wps:bodyPr>
                    </wps:wsp>
                  </a:graphicData>
                </a:graphic>
              </wp:anchor>
            </w:drawing>
          </mc:Choice>
          <mc:Fallback>
            <w:pict>
              <v:rect id="shape_0" ID="Text Box 22" stroked="f" style="position:absolute;margin-left:235.05pt;margin-top:76.7pt;width:264.4pt;height:50.45pt" wp14:anchorId="656D2725">
                <w10:wrap type="square"/>
                <v:fill o:detectmouseclick="t" on="false"/>
                <v:stroke color="#3465a4" joinstyle="round" endcap="flat"/>
                <v:textbox>
                  <w:txbxContent>
                    <w:p>
                      <w:pPr>
                        <w:pStyle w:val="FrameContents"/>
                        <w:jc w:val="center"/>
                        <w:rPr>
                          <w:rFonts w:ascii="Avenir Next" w:hAnsi="Avenir Next"/>
                          <w:b/>
                          <w:b/>
                          <w:color w:val="FFFFFF"/>
                          <w:sz w:val="72"/>
                          <w:szCs w:val="68"/>
                        </w:rPr>
                      </w:pPr>
                      <w:r>
                        <w:rPr>
                          <w:rFonts w:ascii="Avenir Next" w:hAnsi="Avenir Next"/>
                          <w:b/>
                          <w:color w:val="FFFFFF"/>
                          <w:sz w:val="72"/>
                          <w:szCs w:val="68"/>
                        </w:rPr>
                        <w:t>S$3,684,409.08</w:t>
                      </w:r>
                    </w:p>
                    <w:p>
                      <w:pPr>
                        <w:pStyle w:val="FrameContents"/>
                        <w:rPr/>
                      </w:pPr>
                      <w:r>
                        <w:rPr/>
                      </w:r>
                    </w:p>
                  </w:txbxContent>
                </v:textbox>
              </v:rect>
            </w:pict>
          </mc:Fallback>
        </mc:AlternateContent>
        <mc:AlternateContent>
          <mc:Choice Requires="wps">
            <w:drawing>
              <wp:anchor behindDoc="0" distT="0" distB="0" distL="114300" distR="114300" simplePos="0" locked="0" layoutInCell="1" allowOverlap="1" relativeHeight="13" wp14:anchorId="67E82B35">
                <wp:simplePos x="0" y="0"/>
                <wp:positionH relativeFrom="column">
                  <wp:posOffset>3060700</wp:posOffset>
                </wp:positionH>
                <wp:positionV relativeFrom="paragraph">
                  <wp:posOffset>1860550</wp:posOffset>
                </wp:positionV>
                <wp:extent cx="2286635" cy="769620"/>
                <wp:effectExtent l="0" t="0" r="0" b="0"/>
                <wp:wrapSquare wrapText="bothSides"/>
                <wp:docPr id="18" name="Text Box 24"/>
                <a:graphic xmlns:a="http://schemas.openxmlformats.org/drawingml/2006/main">
                  <a:graphicData uri="http://schemas.microsoft.com/office/word/2010/wordprocessingShape">
                    <wps:wsp>
                      <wps:cNvSpPr/>
                      <wps:spPr>
                        <a:xfrm>
                          <a:off x="0" y="0"/>
                          <a:ext cx="2286000" cy="768960"/>
                        </a:xfrm>
                        <a:prstGeom prst="rect">
                          <a:avLst/>
                        </a:prstGeom>
                        <a:noFill/>
                        <a:ln>
                          <a:noFill/>
                        </a:ln>
                      </wps:spPr>
                      <wps:style>
                        <a:lnRef idx="0"/>
                        <a:fillRef idx="0"/>
                        <a:effectRef idx="0"/>
                        <a:fontRef idx="minor"/>
                      </wps:style>
                      <wps:txbx>
                        <w:txbxContent>
                          <w:p>
                            <w:pPr>
                              <w:pStyle w:val="FrameContents"/>
                              <w:rPr>
                                <w:rFonts w:ascii="Avenir Next" w:hAnsi="Avenir Next"/>
                                <w:b/>
                                <w:b/>
                                <w:color w:val="FFFFFF"/>
                                <w:sz w:val="72"/>
                                <w:szCs w:val="68"/>
                              </w:rPr>
                            </w:pPr>
                            <w:r>
                              <w:rPr>
                                <w:rFonts w:ascii="Avenir Next" w:hAnsi="Avenir Next"/>
                                <w:b/>
                                <w:color w:val="FFFFFF"/>
                                <w:sz w:val="72"/>
                                <w:szCs w:val="68"/>
                              </w:rPr>
                              <w:t>8.93%</w:t>
                            </w:r>
                          </w:p>
                          <w:p>
                            <w:pPr>
                              <w:pStyle w:val="FrameContents"/>
                              <w:rPr/>
                            </w:pPr>
                            <w:r>
                              <w:rPr/>
                            </w:r>
                          </w:p>
                        </w:txbxContent>
                      </wps:txbx>
                      <wps:bodyPr>
                        <a:prstTxWarp prst="textNoShape"/>
                        <a:noAutofit/>
                      </wps:bodyPr>
                    </wps:wsp>
                  </a:graphicData>
                </a:graphic>
              </wp:anchor>
            </w:drawing>
          </mc:Choice>
          <mc:Fallback>
            <w:pict>
              <v:rect id="shape_0" ID="Text Box 24" stroked="f" style="position:absolute;margin-left:241pt;margin-top:146.5pt;width:179.95pt;height:60.5pt" wp14:anchorId="67E82B35">
                <w10:wrap type="square"/>
                <v:fill o:detectmouseclick="t" on="false"/>
                <v:stroke color="#3465a4" joinstyle="round" endcap="flat"/>
                <v:textbox>
                  <w:txbxContent>
                    <w:p>
                      <w:pPr>
                        <w:pStyle w:val="FrameContents"/>
                        <w:rPr>
                          <w:rFonts w:ascii="Avenir Next" w:hAnsi="Avenir Next"/>
                          <w:b/>
                          <w:b/>
                          <w:color w:val="FFFFFF"/>
                          <w:sz w:val="72"/>
                          <w:szCs w:val="68"/>
                        </w:rPr>
                      </w:pPr>
                      <w:r>
                        <w:rPr>
                          <w:rFonts w:ascii="Avenir Next" w:hAnsi="Avenir Next"/>
                          <w:b/>
                          <w:color w:val="FFFFFF"/>
                          <w:sz w:val="72"/>
                          <w:szCs w:val="68"/>
                        </w:rPr>
                        <w:t>8.93%</w:t>
                      </w:r>
                    </w:p>
                    <w:p>
                      <w:pPr>
                        <w:pStyle w:val="FrameContents"/>
                        <w:rPr/>
                      </w:pPr>
                      <w:r>
                        <w:rPr/>
                      </w:r>
                    </w:p>
                  </w:txbxContent>
                </v:textbox>
              </v:rect>
            </w:pict>
          </mc:Fallback>
        </mc:AlternateContent>
        <mc:AlternateContent>
          <mc:Choice Requires="wps">
            <w:drawing>
              <wp:anchor behindDoc="0" distT="0" distB="0" distL="114300" distR="114300" simplePos="0" locked="0" layoutInCell="1" allowOverlap="1" relativeHeight="14" wp14:anchorId="1ADFBFD9">
                <wp:simplePos x="0" y="0"/>
                <wp:positionH relativeFrom="column">
                  <wp:posOffset>3061335</wp:posOffset>
                </wp:positionH>
                <wp:positionV relativeFrom="paragraph">
                  <wp:posOffset>2366010</wp:posOffset>
                </wp:positionV>
                <wp:extent cx="3282950" cy="256540"/>
                <wp:effectExtent l="0" t="0" r="0" b="0"/>
                <wp:wrapSquare wrapText="bothSides"/>
                <wp:docPr id="20" name="Text Box 25"/>
                <a:graphic xmlns:a="http://schemas.openxmlformats.org/drawingml/2006/main">
                  <a:graphicData uri="http://schemas.microsoft.com/office/word/2010/wordprocessingShape">
                    <wps:wsp>
                      <wps:cNvSpPr/>
                      <wps:spPr>
                        <a:xfrm>
                          <a:off x="0" y="0"/>
                          <a:ext cx="3282480" cy="255960"/>
                        </a:xfrm>
                        <a:prstGeom prst="rect">
                          <a:avLst/>
                        </a:prstGeom>
                        <a:noFill/>
                        <a:ln>
                          <a:noFill/>
                        </a:ln>
                      </wps:spPr>
                      <wps:style>
                        <a:lnRef idx="0"/>
                        <a:fillRef idx="0"/>
                        <a:effectRef idx="0"/>
                        <a:fontRef idx="minor"/>
                      </wps:style>
                      <wps:txbx>
                        <w:txbxContent>
                          <w:p>
                            <w:pPr>
                              <w:pStyle w:val="FrameContents"/>
                              <w:rPr/>
                            </w:pPr>
                            <w:r>
                              <w:rPr>
                                <w:rFonts w:ascii="Avenir Next" w:hAnsi="Avenir Next"/>
                                <w:b/>
                                <w:color w:val="FFFFFF"/>
                                <w:szCs w:val="22"/>
                              </w:rPr>
                              <w:t>% Realised Gain</w:t>
                            </w:r>
                          </w:p>
                        </w:txbxContent>
                      </wps:txbx>
                      <wps:bodyPr>
                        <a:prstTxWarp prst="textNoShape"/>
                        <a:noAutofit/>
                      </wps:bodyPr>
                    </wps:wsp>
                  </a:graphicData>
                </a:graphic>
              </wp:anchor>
            </w:drawing>
          </mc:Choice>
          <mc:Fallback>
            <w:pict>
              <v:rect id="shape_0" ID="Text Box 25" stroked="f" style="position:absolute;margin-left:241.05pt;margin-top:186.3pt;width:258.4pt;height:20.1pt" wp14:anchorId="1ADFBFD9">
                <w10:wrap type="square"/>
                <v:fill o:detectmouseclick="t" on="false"/>
                <v:stroke color="#3465a4" joinstyle="round" endcap="flat"/>
                <v:textbox>
                  <w:txbxContent>
                    <w:p>
                      <w:pPr>
                        <w:pStyle w:val="FrameContents"/>
                        <w:rPr/>
                      </w:pPr>
                      <w:r>
                        <w:rPr>
                          <w:rFonts w:ascii="Avenir Next" w:hAnsi="Avenir Next"/>
                          <w:b/>
                          <w:color w:val="FFFFFF"/>
                          <w:szCs w:val="22"/>
                        </w:rPr>
                        <w:t>% Realised Gain</w:t>
                      </w:r>
                    </w:p>
                  </w:txbxContent>
                </v:textbox>
              </v:rect>
            </w:pict>
          </mc:Fallback>
        </mc:AlternateContent>
      </w:r>
    </w:p>
    <w:p>
      <w:pPr>
        <w:pStyle w:val="Normal"/>
        <w:numPr>
          <w:ilvl w:val="0"/>
          <w:numId w:val="0"/>
        </w:numPr>
        <w:ind w:left="-426" w:hanging="0"/>
        <w:outlineLvl w:val="0"/>
        <w:rPr>
          <w:rFonts w:ascii="Avenir Next" w:hAnsi="Avenir Next"/>
          <w:b/>
          <w:b/>
          <w:color w:val="002041"/>
        </w:rPr>
      </w:pPr>
      <w:r>
        <w:rPr>
          <w:rFonts w:ascii="Avenir Next" w:hAnsi="Avenir Next"/>
          <w:b/>
          <w:color w:val="002041"/>
        </w:rPr>
        <w:t>Appendix I – Breakdown</w:t>
      </w:r>
    </w:p>
    <w:p>
      <w:pPr>
        <w:pStyle w:val="Normal"/>
        <w:rPr>
          <w:rFonts w:ascii="Avenir Next" w:hAnsi="Avenir Next"/>
          <w:b/>
          <w:b/>
          <w:color w:val="002041"/>
        </w:rPr>
      </w:pPr>
      <w:r>
        <w:rPr>
          <w:rFonts w:ascii="Avenir Next" w:hAnsi="Avenir Next"/>
          <w:b/>
          <w:color w:val="002041"/>
        </w:rPr>
      </w:r>
    </w:p>
    <w:tbl>
      <w:tblPr>
        <w:tblW w:w="14598" w:type="dxa"/>
        <w:jc w:val="left"/>
        <w:tblInd w:w="0" w:type="dxa"/>
        <w:tblBorders/>
        <w:tblCellMar>
          <w:top w:w="0" w:type="dxa"/>
          <w:left w:w="108" w:type="dxa"/>
          <w:bottom w:w="0" w:type="dxa"/>
          <w:right w:w="108" w:type="dxa"/>
        </w:tblCellMar>
        <w:tblLook w:firstRow="1" w:noVBand="1" w:lastRow="0" w:firstColumn="1" w:lastColumn="0" w:noHBand="0" w:val="04a0"/>
      </w:tblPr>
      <w:tblGrid>
        <w:gridCol w:w="1097"/>
        <w:gridCol w:w="6660"/>
        <w:gridCol w:w="2971"/>
        <w:gridCol w:w="2880"/>
        <w:gridCol w:w="990"/>
      </w:tblGrid>
      <w:tr>
        <w:trPr/>
        <w:tc>
          <w:tcPr>
            <w:tcW w:w="1097"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t>SGD</w:t>
            </w:r>
          </w:p>
        </w:tc>
        <w:tc>
          <w:tcPr>
            <w:tcW w:w="990"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E87349" w:val="clear"/>
          </w:tcPr>
          <w:p>
            <w:pPr>
              <w:pStyle w:val="Normal"/>
              <w:rPr>
                <w:rFonts w:ascii="Avenir Next" w:hAnsi="Avenir Next"/>
                <w:b/>
                <w:b/>
                <w:color w:val="FFFFFF"/>
                <w:sz w:val="20"/>
                <w:szCs w:val="20"/>
              </w:rPr>
            </w:pPr>
            <w:r>
              <w:rPr>
                <w:rFonts w:ascii="Avenir Next" w:hAnsi="Avenir Next"/>
                <w:b/>
                <w:color w:val="FFFFFF"/>
                <w:sz w:val="20"/>
                <w:szCs w:val="20"/>
              </w:rPr>
              <w:t>Date</w:t>
            </w:r>
          </w:p>
        </w:tc>
        <w:tc>
          <w:tcPr>
            <w:tcW w:w="6660" w:type="dxa"/>
            <w:tcBorders/>
            <w:shd w:color="auto" w:fill="E87349" w:val="clear"/>
            <w:vAlign w:val="bottom"/>
          </w:tcPr>
          <w:p>
            <w:pPr>
              <w:pStyle w:val="Normal"/>
              <w:ind w:right="-1141" w:hanging="0"/>
              <w:rPr>
                <w:rFonts w:ascii="Avenir Next" w:hAnsi="Avenir Next"/>
                <w:b/>
                <w:b/>
                <w:color w:val="FFFFFF"/>
                <w:sz w:val="20"/>
                <w:szCs w:val="20"/>
              </w:rPr>
            </w:pPr>
            <w:r>
              <w:rPr>
                <w:rFonts w:eastAsia="Times New Roman" w:ascii="Avenir Next" w:hAnsi="Avenir Next"/>
                <w:b/>
                <w:bCs/>
                <w:color w:val="FFFFFF"/>
                <w:sz w:val="20"/>
                <w:szCs w:val="20"/>
              </w:rPr>
              <w:t>Beginning Balance as at 1 May 2017</w:t>
            </w:r>
          </w:p>
        </w:tc>
        <w:tc>
          <w:tcPr>
            <w:tcW w:w="2971" w:type="dxa"/>
            <w:tcBorders/>
            <w:shd w:color="auto" w:fill="E87349" w:val="clear"/>
            <w:vAlign w:val="bottom"/>
          </w:tcPr>
          <w:p>
            <w:pPr>
              <w:pStyle w:val="Normal"/>
              <w:ind w:right="555" w:hanging="0"/>
              <w:jc w:val="right"/>
              <w:rPr>
                <w:rFonts w:ascii="Avenir Next" w:hAnsi="Avenir Next"/>
                <w:b/>
                <w:b/>
                <w:color w:val="FFFFFF"/>
                <w:sz w:val="20"/>
                <w:szCs w:val="20"/>
              </w:rPr>
            </w:pPr>
            <w:r>
              <w:rPr>
                <w:rFonts w:eastAsia="Times New Roman" w:ascii="Avenir Next" w:hAnsi="Avenir Next"/>
                <w:b/>
                <w:bCs/>
                <w:color w:val="FFFFFF"/>
                <w:sz w:val="20"/>
                <w:szCs w:val="20"/>
              </w:rPr>
              <w:t> </w:t>
            </w:r>
          </w:p>
        </w:tc>
        <w:tc>
          <w:tcPr>
            <w:tcW w:w="2880" w:type="dxa"/>
            <w:tcBorders/>
            <w:shd w:color="auto" w:fill="E87349" w:val="clear"/>
            <w:vAlign w:val="bottom"/>
          </w:tcPr>
          <w:p>
            <w:pPr>
              <w:pStyle w:val="Normal"/>
              <w:ind w:right="1167" w:hanging="0"/>
              <w:jc w:val="right"/>
              <w:rPr>
                <w:rFonts w:ascii="Avenir Next" w:hAnsi="Avenir Next"/>
                <w:b/>
                <w:b/>
                <w:color w:val="FFFFFF"/>
                <w:sz w:val="20"/>
                <w:szCs w:val="20"/>
              </w:rPr>
            </w:pPr>
            <w:r>
              <w:rPr>
                <w:rFonts w:eastAsia="Times New Roman" w:ascii="Avenir Next" w:hAnsi="Avenir Next"/>
                <w:b/>
                <w:bCs/>
                <w:color w:val="FFFFFF"/>
                <w:sz w:val="20"/>
                <w:szCs w:val="20"/>
              </w:rPr>
              <w:t xml:space="preserve"> </w:t>
            </w:r>
            <w:r>
              <w:rPr>
                <w:rFonts w:eastAsia="Times New Roman" w:ascii="Avenir Next" w:hAnsi="Avenir Next"/>
                <w:b/>
                <w:bCs/>
                <w:color w:val="FFFFFF"/>
                <w:sz w:val="20"/>
                <w:szCs w:val="20"/>
              </w:rPr>
              <w:t xml:space="preserve">3,405,025.50 </w:t>
            </w:r>
          </w:p>
        </w:tc>
        <w:tc>
          <w:tcPr>
            <w:tcW w:w="990" w:type="dxa"/>
            <w:tcBorders/>
            <w:shd w:color="auto" w:fill="auto" w:val="clear"/>
            <w:vAlign w:val="bottom"/>
          </w:tcPr>
          <w:p>
            <w:pPr>
              <w:pStyle w:val="Normal"/>
              <w:rPr>
                <w:rFonts w:ascii="Avenir Next" w:hAnsi="Avenir Next"/>
                <w:b/>
                <w:b/>
                <w:color w:val="000000"/>
                <w:sz w:val="20"/>
                <w:szCs w:val="20"/>
              </w:rPr>
            </w:pPr>
            <w:r>
              <w:rPr>
                <w:rFonts w:eastAsia="Times New Roman" w:ascii="Avenir Next" w:hAnsi="Avenir Next"/>
                <w:color w:val="000000"/>
                <w:sz w:val="20"/>
                <w:szCs w:val="20"/>
              </w:rPr>
              <w:t>100%</w:t>
            </w:r>
          </w:p>
        </w:tc>
      </w:tr>
      <w:tr>
        <w:trPr/>
        <w:tc>
          <w:tcPr>
            <w:tcW w:w="1097"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bottom w:val="single" w:sz="4" w:space="0" w:color="00000A"/>
              <w:insideH w:val="single" w:sz="4" w:space="0" w:color="00000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b/>
                <w:color w:val="000000"/>
                <w:sz w:val="20"/>
                <w:szCs w:val="20"/>
              </w:rPr>
              <w:t>Futures Metal Trading</w:t>
            </w:r>
          </w:p>
        </w:tc>
        <w:tc>
          <w:tcPr>
            <w:tcW w:w="2971" w:type="dxa"/>
            <w:tcBorders>
              <w:bottom w:val="single" w:sz="4" w:space="0" w:color="00000A"/>
              <w:insideH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eastAsia="Times New Roman" w:ascii="Avenir Next" w:hAnsi="Avenir Next"/>
                <w:b/>
                <w:bCs/>
                <w:color w:val="000000"/>
                <w:sz w:val="20"/>
                <w:szCs w:val="20"/>
              </w:rPr>
              <w:t> </w:t>
            </w:r>
          </w:p>
        </w:tc>
        <w:tc>
          <w:tcPr>
            <w:tcW w:w="2880" w:type="dxa"/>
            <w:tcBorders>
              <w:bottom w:val="single" w:sz="4" w:space="0" w:color="00000A"/>
              <w:insideH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b/>
                <w:bCs/>
                <w:color w:val="000000"/>
                <w:sz w:val="20"/>
                <w:szCs w:val="20"/>
              </w:rPr>
              <w:t xml:space="preserve"> </w:t>
            </w:r>
            <w:r>
              <w:rPr>
                <w:rFonts w:eastAsia="Times New Roman" w:ascii="Avenir Next" w:hAnsi="Avenir Next"/>
                <w:b/>
                <w:bCs/>
                <w:color w:val="000000"/>
                <w:sz w:val="20"/>
                <w:szCs w:val="20"/>
              </w:rPr>
              <w:t xml:space="preserve">73,057.50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2%</w:t>
            </w:r>
          </w:p>
        </w:tc>
      </w:tr>
      <w:tr>
        <w:trPr/>
        <w:tc>
          <w:tcPr>
            <w:tcW w:w="1097" w:type="dxa"/>
            <w:tcBorders>
              <w:top w:val="single" w:sz="4" w:space="0" w:color="00000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top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top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bottom w:val="single" w:sz="4" w:space="0" w:color="00000A"/>
              <w:insideH w:val="single" w:sz="4" w:space="0" w:color="00000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b/>
                <w:color w:val="000000"/>
                <w:sz w:val="20"/>
                <w:szCs w:val="20"/>
              </w:rPr>
              <w:t>Securities</w:t>
            </w:r>
          </w:p>
        </w:tc>
        <w:tc>
          <w:tcPr>
            <w:tcW w:w="2971" w:type="dxa"/>
            <w:tcBorders>
              <w:bottom w:val="single" w:sz="4" w:space="0" w:color="00000A"/>
              <w:insideH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eastAsia="Times New Roman" w:ascii="Avenir Next" w:hAnsi="Avenir Next"/>
                <w:b/>
                <w:bCs/>
                <w:color w:val="000000"/>
                <w:sz w:val="20"/>
                <w:szCs w:val="20"/>
              </w:rPr>
              <w:t> </w:t>
            </w:r>
          </w:p>
        </w:tc>
        <w:tc>
          <w:tcPr>
            <w:tcW w:w="2880" w:type="dxa"/>
            <w:tcBorders>
              <w:bottom w:val="single" w:sz="4" w:space="0" w:color="00000A"/>
              <w:insideH w:val="single" w:sz="4" w:space="0" w:color="00000A"/>
            </w:tcBorders>
            <w:shd w:color="auto" w:fill="auto" w:val="clear"/>
            <w:vAlign w:val="bottom"/>
          </w:tcPr>
          <w:p>
            <w:pPr>
              <w:pStyle w:val="ListParagraph"/>
              <w:numPr>
                <w:ilvl w:val="0"/>
                <w:numId w:val="1"/>
              </w:numPr>
              <w:ind w:left="720" w:right="1167" w:hanging="360"/>
              <w:jc w:val="right"/>
              <w:rPr>
                <w:rFonts w:ascii="Avenir Next" w:hAnsi="Avenir Next"/>
                <w:b/>
                <w:b/>
                <w:color w:val="002041"/>
                <w:sz w:val="20"/>
                <w:szCs w:val="20"/>
              </w:rPr>
            </w:pPr>
            <w:r>
              <w:rPr>
                <w:rFonts w:eastAsia="Times New Roman" w:ascii="Avenir Next" w:hAnsi="Avenir Next"/>
                <w:b/>
                <w:bCs/>
                <w:color w:val="000000"/>
                <w:sz w:val="20"/>
                <w:szCs w:val="20"/>
              </w:rPr>
              <w:t xml:space="preserve">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0%</w:t>
            </w:r>
          </w:p>
        </w:tc>
      </w:tr>
      <w:tr>
        <w:trPr/>
        <w:tc>
          <w:tcPr>
            <w:tcW w:w="1097"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bottom w:val="single" w:sz="4" w:space="0" w:color="00000A"/>
              <w:insideH w:val="single" w:sz="4" w:space="0" w:color="00000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b/>
                <w:color w:val="000000"/>
                <w:sz w:val="20"/>
                <w:szCs w:val="20"/>
              </w:rPr>
              <w:t xml:space="preserve">Physical Metal Trading </w:t>
            </w:r>
          </w:p>
        </w:tc>
        <w:tc>
          <w:tcPr>
            <w:tcW w:w="2971" w:type="dxa"/>
            <w:tcBorders>
              <w:bottom w:val="single" w:sz="4" w:space="0" w:color="00000A"/>
              <w:insideH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eastAsia="Times New Roman" w:ascii="Avenir Next" w:hAnsi="Avenir Next"/>
                <w:b/>
                <w:bCs/>
                <w:color w:val="000000"/>
                <w:sz w:val="20"/>
                <w:szCs w:val="20"/>
              </w:rPr>
              <w:t> </w:t>
            </w:r>
          </w:p>
        </w:tc>
        <w:tc>
          <w:tcPr>
            <w:tcW w:w="2880" w:type="dxa"/>
            <w:tcBorders>
              <w:bottom w:val="single" w:sz="4" w:space="0" w:color="00000A"/>
              <w:insideH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b/>
                <w:bCs/>
                <w:color w:val="000000"/>
                <w:sz w:val="20"/>
                <w:szCs w:val="20"/>
              </w:rPr>
              <w:t xml:space="preserve"> </w:t>
            </w:r>
            <w:r>
              <w:rPr>
                <w:rFonts w:eastAsia="Times New Roman" w:ascii="Avenir Next" w:hAnsi="Avenir Next"/>
                <w:b/>
                <w:bCs/>
                <w:color w:val="000000"/>
                <w:sz w:val="20"/>
                <w:szCs w:val="20"/>
              </w:rPr>
              <w:t xml:space="preserve">3,331,968.00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98%</w:t>
            </w:r>
          </w:p>
        </w:tc>
      </w:tr>
      <w:tr>
        <w:trPr/>
        <w:tc>
          <w:tcPr>
            <w:tcW w:w="1097" w:type="dxa"/>
            <w:tcBorders>
              <w:top w:val="single" w:sz="4" w:space="0" w:color="00000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Feb 2017 Nickel contract</w:t>
            </w:r>
          </w:p>
        </w:tc>
        <w:tc>
          <w:tcPr>
            <w:tcW w:w="2971" w:type="dxa"/>
            <w:tcBorders>
              <w:top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top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1,050,000.00</w:t>
            </w:r>
          </w:p>
        </w:tc>
        <w:tc>
          <w:tcPr>
            <w:tcW w:w="99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31%</w:t>
            </w:r>
          </w:p>
        </w:tc>
      </w:tr>
      <w:tr>
        <w:trPr/>
        <w:tc>
          <w:tcPr>
            <w:tcW w:w="1097"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Mar 2017 Nickel contract</w:t>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 xml:space="preserve">938,340.00 </w:t>
            </w:r>
          </w:p>
        </w:tc>
        <w:tc>
          <w:tcPr>
            <w:tcW w:w="990"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28%</w:t>
            </w:r>
          </w:p>
        </w:tc>
      </w:tr>
      <w:tr>
        <w:trPr/>
        <w:tc>
          <w:tcPr>
            <w:tcW w:w="1097"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Apr 2017 Nickel contract</w:t>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 xml:space="preserve">1,343,628.00 </w:t>
            </w:r>
          </w:p>
        </w:tc>
        <w:tc>
          <w:tcPr>
            <w:tcW w:w="990"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39%</w:t>
            </w:r>
          </w:p>
        </w:tc>
      </w:tr>
      <w:tr>
        <w:trPr>
          <w:trHeight w:val="325" w:hRule="atLeast"/>
        </w:trPr>
        <w:tc>
          <w:tcPr>
            <w:tcW w:w="1097" w:type="dxa"/>
            <w:tcBorders/>
            <w:shd w:color="auto" w:fill="auto" w:val="clear"/>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eastAsia="Times New Roman" w:ascii="Avenir Next" w:hAnsi="Avenir Next"/>
                <w:b/>
                <w:bCs/>
                <w:color w:val="000000"/>
                <w:sz w:val="20"/>
                <w:szCs w:val="20"/>
              </w:rPr>
              <w:t>SGD</w:t>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b/>
                <w:bCs/>
                <w:color w:val="000000"/>
                <w:sz w:val="20"/>
                <w:szCs w:val="20"/>
              </w:rPr>
              <w:t>SGD</w:t>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E87349"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 </w:t>
            </w:r>
          </w:p>
        </w:tc>
        <w:tc>
          <w:tcPr>
            <w:tcW w:w="6660" w:type="dxa"/>
            <w:tcBorders/>
            <w:shd w:color="auto" w:fill="E87349"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Transactions during the month</w:t>
            </w:r>
          </w:p>
        </w:tc>
        <w:tc>
          <w:tcPr>
            <w:tcW w:w="2971" w:type="dxa"/>
            <w:tcBorders/>
            <w:shd w:color="auto" w:fill="E87349" w:val="clear"/>
            <w:vAlign w:val="bottom"/>
          </w:tcPr>
          <w:p>
            <w:pPr>
              <w:pStyle w:val="Normal"/>
              <w:ind w:right="555" w:hanging="0"/>
              <w:jc w:val="right"/>
              <w:rPr>
                <w:rFonts w:ascii="Avenir Next" w:hAnsi="Avenir Next"/>
                <w:b/>
                <w:b/>
                <w:color w:val="FFFFFF"/>
                <w:sz w:val="20"/>
                <w:szCs w:val="20"/>
              </w:rPr>
            </w:pPr>
            <w:r>
              <w:rPr>
                <w:rFonts w:eastAsia="Times New Roman" w:ascii="Avenir Next" w:hAnsi="Avenir Next"/>
                <w:b/>
                <w:bCs/>
                <w:color w:val="FFFFFF"/>
                <w:sz w:val="20"/>
                <w:szCs w:val="20"/>
              </w:rPr>
              <w:t>Debit</w:t>
            </w:r>
          </w:p>
        </w:tc>
        <w:tc>
          <w:tcPr>
            <w:tcW w:w="2880" w:type="dxa"/>
            <w:tcBorders/>
            <w:shd w:color="auto" w:fill="E87349" w:val="clear"/>
            <w:vAlign w:val="bottom"/>
          </w:tcPr>
          <w:p>
            <w:pPr>
              <w:pStyle w:val="Normal"/>
              <w:ind w:right="1167" w:hanging="0"/>
              <w:jc w:val="right"/>
              <w:rPr>
                <w:rFonts w:ascii="Avenir Next" w:hAnsi="Avenir Next"/>
                <w:b/>
                <w:b/>
                <w:color w:val="FFFFFF"/>
                <w:sz w:val="20"/>
                <w:szCs w:val="20"/>
              </w:rPr>
            </w:pPr>
            <w:r>
              <w:rPr>
                <w:rFonts w:eastAsia="Times New Roman" w:ascii="Avenir Next" w:hAnsi="Avenir Next"/>
                <w:b/>
                <w:bCs/>
                <w:color w:val="FFFFFF"/>
                <w:sz w:val="20"/>
                <w:szCs w:val="20"/>
              </w:rPr>
              <w:t>Credit</w:t>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rHeight w:val="321" w:hRule="atLeast"/>
        </w:trPr>
        <w:tc>
          <w:tcPr>
            <w:tcW w:w="1097"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 </w:t>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b/>
                <w:bCs/>
                <w:color w:val="000000"/>
                <w:sz w:val="20"/>
                <w:szCs w:val="20"/>
              </w:rPr>
              <w:t>Futures Metal Trading</w:t>
            </w:r>
          </w:p>
        </w:tc>
        <w:tc>
          <w:tcPr>
            <w:tcW w:w="2971" w:type="dxa"/>
            <w:tcBorders>
              <w:bottom w:val="single" w:sz="4" w:space="0" w:color="00000A"/>
              <w:insideH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eastAsia="Times New Roman" w:ascii="Avenir Next" w:hAnsi="Avenir Next"/>
                <w:b/>
                <w:bCs/>
                <w:color w:val="000000"/>
                <w:sz w:val="20"/>
                <w:szCs w:val="20"/>
              </w:rPr>
              <w:t xml:space="preserve"> </w:t>
            </w:r>
            <w:r>
              <w:rPr>
                <w:rFonts w:eastAsia="Times New Roman" w:ascii="Avenir Next" w:hAnsi="Avenir Next"/>
                <w:b/>
                <w:color w:val="000000"/>
                <w:sz w:val="20"/>
                <w:szCs w:val="20"/>
              </w:rPr>
              <w:t>(290.56)</w:t>
            </w:r>
          </w:p>
        </w:tc>
        <w:tc>
          <w:tcPr>
            <w:tcW w:w="2880" w:type="dxa"/>
            <w:tcBorders>
              <w:bottom w:val="single" w:sz="4" w:space="0" w:color="00000A"/>
              <w:insideH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b/>
                <w:bCs/>
                <w:color w:val="000000"/>
                <w:sz w:val="20"/>
                <w:szCs w:val="20"/>
              </w:rPr>
              <w:t xml:space="preserve"> </w:t>
            </w:r>
            <w:r>
              <w:rPr>
                <w:rFonts w:eastAsia="Times New Roman" w:ascii="Avenir Next" w:hAnsi="Avenir Next"/>
                <w:b/>
                <w:color w:val="000000"/>
                <w:sz w:val="20"/>
                <w:szCs w:val="20"/>
              </w:rPr>
              <w:t>3,631.94</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31/5/17</w:t>
            </w:r>
          </w:p>
        </w:tc>
        <w:tc>
          <w:tcPr>
            <w:tcW w:w="666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Realised profits from Futures Metal Trading</w:t>
            </w:r>
          </w:p>
        </w:tc>
        <w:tc>
          <w:tcPr>
            <w:tcW w:w="2971" w:type="dxa"/>
            <w:tcBorders>
              <w:top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top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 xml:space="preserve">3,631.94 </w:t>
            </w:r>
          </w:p>
        </w:tc>
        <w:tc>
          <w:tcPr>
            <w:tcW w:w="99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31/5/17</w:t>
            </w:r>
          </w:p>
        </w:tc>
        <w:tc>
          <w:tcPr>
            <w:tcW w:w="6660"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Commission charged for realised profits from Futures Metal Trading</w:t>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(290.56)</w:t>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color w:val="000000"/>
                <w:sz w:val="20"/>
                <w:szCs w:val="20"/>
              </w:rPr>
              <w:t xml:space="preserve">    </w:t>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666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 </w:t>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cs="Calibri" w:ascii="Avenir Next" w:hAnsi="Avenir Next"/>
                <w:b/>
                <w:bCs/>
                <w:color w:val="000000"/>
                <w:sz w:val="20"/>
                <w:szCs w:val="22"/>
              </w:rPr>
              <w:t xml:space="preserve">Physical Metal Trading </w:t>
            </w:r>
          </w:p>
        </w:tc>
        <w:tc>
          <w:tcPr>
            <w:tcW w:w="2971" w:type="dxa"/>
            <w:tcBorders>
              <w:bottom w:val="single" w:sz="4" w:space="0" w:color="00000A"/>
              <w:insideH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cs="Calibri" w:ascii="Avenir Next" w:hAnsi="Avenir Next"/>
                <w:b/>
                <w:bCs/>
                <w:color w:val="000000"/>
                <w:sz w:val="20"/>
                <w:szCs w:val="22"/>
              </w:rPr>
              <w:t xml:space="preserve"> </w:t>
            </w:r>
            <w:r>
              <w:rPr>
                <w:rFonts w:cs="Calibri" w:ascii="Avenir Next" w:hAnsi="Avenir Next"/>
                <w:b/>
                <w:bCs/>
                <w:color w:val="000000"/>
                <w:sz w:val="20"/>
                <w:szCs w:val="22"/>
              </w:rPr>
              <w:t>(1,375,185.00)</w:t>
            </w:r>
          </w:p>
        </w:tc>
        <w:tc>
          <w:tcPr>
            <w:tcW w:w="2880" w:type="dxa"/>
            <w:tcBorders>
              <w:bottom w:val="single" w:sz="4" w:space="0" w:color="00000A"/>
              <w:insideH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b/>
                <w:bCs/>
                <w:color w:val="000000"/>
                <w:sz w:val="20"/>
                <w:szCs w:val="22"/>
              </w:rPr>
              <w:t xml:space="preserve"> </w:t>
            </w:r>
            <w:r>
              <w:rPr>
                <w:rFonts w:cs="Calibri" w:ascii="Avenir Next" w:hAnsi="Avenir Next"/>
                <w:b/>
                <w:bCs/>
                <w:color w:val="000000"/>
                <w:sz w:val="20"/>
                <w:szCs w:val="22"/>
              </w:rPr>
              <w:t xml:space="preserve">1,651,335.00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21/5/17</w:t>
            </w:r>
          </w:p>
        </w:tc>
        <w:tc>
          <w:tcPr>
            <w:tcW w:w="666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cs="Calibri" w:ascii="Avenir Next" w:hAnsi="Avenir Next"/>
                <w:color w:val="000000"/>
                <w:sz w:val="20"/>
                <w:szCs w:val="22"/>
              </w:rPr>
              <w:t>Realised Profits from Feb 2017 nickel deal</w:t>
            </w:r>
          </w:p>
        </w:tc>
        <w:tc>
          <w:tcPr>
            <w:tcW w:w="2971" w:type="dxa"/>
            <w:tcBorders>
              <w:top w:val="single" w:sz="4" w:space="0" w:color="00000A"/>
            </w:tcBorders>
            <w:shd w:color="auto" w:fill="auto" w:val="clear"/>
            <w:vAlign w:val="bottom"/>
          </w:tcPr>
          <w:p>
            <w:pPr>
              <w:pStyle w:val="Normal"/>
              <w:ind w:right="555" w:hanging="0"/>
              <w:jc w:val="right"/>
              <w:rPr>
                <w:rFonts w:ascii="Avenir Next" w:hAnsi="Avenir Next"/>
                <w:b/>
                <w:b/>
                <w:color w:val="002041"/>
                <w:sz w:val="20"/>
                <w:szCs w:val="20"/>
              </w:rPr>
            </w:pPr>
            <w:r>
              <w:rPr>
                <w:rFonts w:ascii="Avenir Next" w:hAnsi="Avenir Next"/>
                <w:b/>
                <w:color w:val="002041"/>
                <w:sz w:val="20"/>
                <w:szCs w:val="20"/>
              </w:rPr>
            </w:r>
          </w:p>
        </w:tc>
        <w:tc>
          <w:tcPr>
            <w:tcW w:w="2880" w:type="dxa"/>
            <w:tcBorders>
              <w:top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color w:val="000000"/>
                <w:sz w:val="20"/>
                <w:szCs w:val="22"/>
              </w:rPr>
              <w:t xml:space="preserve"> </w:t>
            </w:r>
            <w:r>
              <w:rPr>
                <w:rFonts w:cs="Calibri" w:ascii="Avenir Next" w:hAnsi="Avenir Next"/>
                <w:color w:val="000000"/>
                <w:sz w:val="20"/>
                <w:szCs w:val="22"/>
              </w:rPr>
              <w:t xml:space="preserve">325,185.00 </w:t>
            </w:r>
          </w:p>
        </w:tc>
        <w:tc>
          <w:tcPr>
            <w:tcW w:w="990" w:type="dxa"/>
            <w:tcBorders>
              <w:top w:val="single" w:sz="4" w:space="0" w:color="00000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26/4/17</w:t>
            </w:r>
          </w:p>
        </w:tc>
        <w:tc>
          <w:tcPr>
            <w:tcW w:w="6660" w:type="dxa"/>
            <w:tcBorders/>
            <w:shd w:color="auto" w:fill="auto" w:val="clear"/>
            <w:vAlign w:val="bottom"/>
          </w:tcPr>
          <w:p>
            <w:pPr>
              <w:pStyle w:val="Normal"/>
              <w:rPr>
                <w:rFonts w:ascii="Avenir Next" w:hAnsi="Avenir Next"/>
                <w:b/>
                <w:b/>
                <w:color w:val="002041"/>
                <w:sz w:val="20"/>
                <w:szCs w:val="20"/>
              </w:rPr>
            </w:pPr>
            <w:r>
              <w:rPr>
                <w:rFonts w:cs="Calibri" w:ascii="Avenir Next" w:hAnsi="Avenir Next"/>
                <w:color w:val="000000"/>
                <w:sz w:val="20"/>
                <w:szCs w:val="22"/>
              </w:rPr>
              <w:t>Commission charged for realised profits from Feb 2017 nickel deal</w:t>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cs="Calibri" w:ascii="Avenir Next" w:hAnsi="Avenir Next"/>
                <w:color w:val="000000"/>
                <w:sz w:val="20"/>
                <w:szCs w:val="22"/>
              </w:rPr>
              <w:t xml:space="preserve"> </w:t>
            </w:r>
            <w:r>
              <w:rPr>
                <w:rFonts w:cs="Calibri" w:ascii="Avenir Next" w:hAnsi="Avenir Next"/>
                <w:color w:val="000000"/>
                <w:sz w:val="20"/>
                <w:szCs w:val="22"/>
              </w:rPr>
              <w:t>(49,035.00)</w:t>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b/>
                <w:b/>
                <w:color w:val="002041"/>
                <w:sz w:val="20"/>
                <w:szCs w:val="20"/>
              </w:rPr>
            </w:pPr>
            <w:r>
              <w:rPr>
                <w:rFonts w:eastAsia="Times New Roman" w:ascii="Avenir Next" w:hAnsi="Avenir Next"/>
                <w:color w:val="000000"/>
                <w:sz w:val="20"/>
                <w:szCs w:val="20"/>
              </w:rPr>
              <w:t>26/4/17</w:t>
            </w:r>
          </w:p>
        </w:tc>
        <w:tc>
          <w:tcPr>
            <w:tcW w:w="6660" w:type="dxa"/>
            <w:tcBorders/>
            <w:shd w:color="auto" w:fill="auto" w:val="clear"/>
            <w:vAlign w:val="bottom"/>
          </w:tcPr>
          <w:p>
            <w:pPr>
              <w:pStyle w:val="Normal"/>
              <w:rPr>
                <w:rFonts w:ascii="Avenir Next" w:hAnsi="Avenir Next"/>
                <w:b/>
                <w:b/>
                <w:color w:val="002041"/>
                <w:sz w:val="20"/>
                <w:szCs w:val="20"/>
              </w:rPr>
            </w:pPr>
            <w:r>
              <w:rPr>
                <w:rFonts w:cs="Calibri" w:ascii="Avenir Next" w:hAnsi="Avenir Next"/>
                <w:color w:val="000000"/>
                <w:sz w:val="20"/>
                <w:szCs w:val="22"/>
              </w:rPr>
              <w:t>Reinvestment from Feb 2017 nickel deal</w:t>
            </w:r>
          </w:p>
        </w:tc>
        <w:tc>
          <w:tcPr>
            <w:tcW w:w="2971" w:type="dxa"/>
            <w:tcBorders/>
            <w:shd w:color="auto" w:fill="auto" w:val="clear"/>
            <w:vAlign w:val="bottom"/>
          </w:tcPr>
          <w:p>
            <w:pPr>
              <w:pStyle w:val="Normal"/>
              <w:ind w:right="555" w:hanging="0"/>
              <w:jc w:val="right"/>
              <w:rPr>
                <w:rFonts w:ascii="Avenir Next" w:hAnsi="Avenir Next"/>
                <w:b/>
                <w:b/>
                <w:color w:val="002041"/>
                <w:sz w:val="20"/>
                <w:szCs w:val="20"/>
              </w:rPr>
            </w:pPr>
            <w:r>
              <w:rPr>
                <w:rFonts w:cs="Calibri" w:ascii="Avenir Next" w:hAnsi="Avenir Next"/>
                <w:color w:val="000000"/>
                <w:sz w:val="20"/>
                <w:szCs w:val="22"/>
              </w:rPr>
              <w:t xml:space="preserve"> </w:t>
            </w:r>
            <w:r>
              <w:rPr>
                <w:rFonts w:cs="Calibri" w:ascii="Avenir Next" w:hAnsi="Avenir Next"/>
                <w:color w:val="000000"/>
                <w:sz w:val="20"/>
                <w:szCs w:val="22"/>
              </w:rPr>
              <w:t>(1,326,150.00)</w:t>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26/4/17</w:t>
            </w:r>
          </w:p>
        </w:tc>
        <w:tc>
          <w:tcPr>
            <w:tcW w:w="6660" w:type="dxa"/>
            <w:tcBorders/>
            <w:shd w:color="auto" w:fill="auto" w:val="clear"/>
            <w:vAlign w:val="bottom"/>
          </w:tcPr>
          <w:p>
            <w:pPr>
              <w:pStyle w:val="Normal"/>
              <w:rPr>
                <w:rFonts w:ascii="Avenir Next" w:hAnsi="Avenir Next" w:cs="Calibri"/>
                <w:color w:val="000000"/>
                <w:sz w:val="20"/>
                <w:szCs w:val="22"/>
                <w:lang w:val="en-SG"/>
              </w:rPr>
            </w:pPr>
            <w:r>
              <w:rPr>
                <w:rFonts w:cs="Calibri" w:ascii="Avenir Next" w:hAnsi="Avenir Next"/>
                <w:color w:val="000000"/>
                <w:sz w:val="20"/>
                <w:szCs w:val="22"/>
              </w:rPr>
              <w:t xml:space="preserve">Reinvestment to May 2017 nickel </w:t>
            </w:r>
            <w:r>
              <w:rPr>
                <w:rFonts w:eastAsia="Times New Roman" w:ascii="Avenir Next" w:hAnsi="Avenir Next"/>
                <w:color w:val="000000"/>
                <w:sz w:val="20"/>
                <w:szCs w:val="20"/>
              </w:rPr>
              <w:t>deal</w:t>
            </w:r>
          </w:p>
        </w:tc>
        <w:tc>
          <w:tcPr>
            <w:tcW w:w="2971" w:type="dxa"/>
            <w:tcBorders/>
            <w:shd w:color="auto" w:fill="auto" w:val="clear"/>
            <w:vAlign w:val="bottom"/>
          </w:tcPr>
          <w:p>
            <w:pPr>
              <w:pStyle w:val="Normal"/>
              <w:ind w:right="555" w:hanging="0"/>
              <w:jc w:val="right"/>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color w:val="002041"/>
                <w:sz w:val="20"/>
                <w:szCs w:val="20"/>
              </w:rPr>
            </w:pPr>
            <w:r>
              <w:rPr>
                <w:rFonts w:cs="Calibri" w:ascii="Avenir Next" w:hAnsi="Avenir Next"/>
                <w:color w:val="000000"/>
                <w:sz w:val="20"/>
                <w:szCs w:val="22"/>
              </w:rPr>
              <w:t xml:space="preserve"> </w:t>
            </w:r>
            <w:r>
              <w:rPr>
                <w:rFonts w:cs="Calibri" w:ascii="Avenir Next" w:hAnsi="Avenir Next"/>
                <w:color w:val="000000"/>
                <w:sz w:val="20"/>
                <w:szCs w:val="22"/>
              </w:rPr>
              <w:t xml:space="preserve">1,326,150.00 </w:t>
            </w:r>
          </w:p>
        </w:tc>
        <w:tc>
          <w:tcPr>
            <w:tcW w:w="99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ind w:right="555" w:hanging="0"/>
              <w:jc w:val="right"/>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bl>
    <w:p>
      <w:pPr>
        <w:pStyle w:val="Normal"/>
        <w:rPr>
          <w:rFonts w:ascii="Avenir Next Regular" w:hAnsi="Avenir Next Regular"/>
          <w:b/>
          <w:b/>
          <w:color w:val="002041"/>
          <w:sz w:val="20"/>
          <w:szCs w:val="20"/>
        </w:rPr>
      </w:pPr>
      <w:r>
        <w:rPr>
          <w:rFonts w:ascii="Avenir Next Regular" w:hAnsi="Avenir Next Regular"/>
          <w:b/>
          <w:color w:val="002041"/>
          <w:sz w:val="20"/>
          <w:szCs w:val="20"/>
        </w:rPr>
      </w:r>
      <w:r>
        <w:br w:type="page"/>
      </w:r>
    </w:p>
    <w:tbl>
      <w:tblPr>
        <w:tblW w:w="14598" w:type="dxa"/>
        <w:jc w:val="left"/>
        <w:tblInd w:w="0" w:type="dxa"/>
        <w:tblBorders/>
        <w:tblCellMar>
          <w:top w:w="0" w:type="dxa"/>
          <w:left w:w="108" w:type="dxa"/>
          <w:bottom w:w="0" w:type="dxa"/>
          <w:right w:w="108" w:type="dxa"/>
        </w:tblCellMar>
        <w:tblLook w:firstRow="1" w:noVBand="1" w:lastRow="0" w:firstColumn="1" w:lastColumn="0" w:noHBand="0" w:val="04a0"/>
      </w:tblPr>
      <w:tblGrid>
        <w:gridCol w:w="1097"/>
        <w:gridCol w:w="6660"/>
        <w:gridCol w:w="2971"/>
        <w:gridCol w:w="2880"/>
        <w:gridCol w:w="990"/>
      </w:tblGrid>
      <w:tr>
        <w:trPr/>
        <w:tc>
          <w:tcPr>
            <w:tcW w:w="1097" w:type="dxa"/>
            <w:tcBorders/>
            <w:shd w:color="auto" w:fill="auto" w:val="clear"/>
            <w:vAlign w:val="bottom"/>
          </w:tcPr>
          <w:p>
            <w:pPr>
              <w:pStyle w:val="Normal"/>
              <w:pageBreakBefore/>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eastAsia="Times New Roman" w:ascii="Avenir Next" w:hAnsi="Avenir Next"/>
                <w:b/>
                <w:bCs/>
                <w:color w:val="000000"/>
                <w:sz w:val="20"/>
                <w:szCs w:val="20"/>
              </w:rPr>
              <w:t>SGD</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E87349" w:val="clear"/>
            <w:vAlign w:val="bottom"/>
          </w:tcPr>
          <w:p>
            <w:pPr>
              <w:pStyle w:val="Normal"/>
              <w:rPr>
                <w:rFonts w:ascii="Avenir Next" w:hAnsi="Avenir Next" w:eastAsia="Times New Roman"/>
                <w:color w:val="FFFFFF"/>
                <w:sz w:val="20"/>
                <w:szCs w:val="20"/>
              </w:rPr>
            </w:pPr>
            <w:r>
              <w:rPr>
                <w:rFonts w:eastAsia="Times New Roman" w:ascii="Avenir Next" w:hAnsi="Avenir Next"/>
                <w:b/>
                <w:bCs/>
                <w:color w:val="FFFFFF"/>
                <w:sz w:val="20"/>
                <w:szCs w:val="20"/>
              </w:rPr>
              <w:t> </w:t>
            </w:r>
            <w:r>
              <w:rPr>
                <w:rFonts w:eastAsia="Times New Roman" w:ascii="Avenir Next" w:hAnsi="Avenir Next"/>
                <w:b/>
                <w:bCs/>
                <w:color w:val="FFFFFF"/>
                <w:sz w:val="20"/>
                <w:szCs w:val="20"/>
              </w:rPr>
              <w:t>Date</w:t>
            </w:r>
          </w:p>
        </w:tc>
        <w:tc>
          <w:tcPr>
            <w:tcW w:w="6660" w:type="dxa"/>
            <w:tcBorders/>
            <w:shd w:color="auto" w:fill="E87349" w:val="clear"/>
            <w:vAlign w:val="bottom"/>
          </w:tcPr>
          <w:p>
            <w:pPr>
              <w:pStyle w:val="Normal"/>
              <w:rPr>
                <w:rFonts w:ascii="Avenir Next" w:hAnsi="Avenir Next" w:eastAsia="Times New Roman"/>
                <w:color w:val="FFFFFF"/>
                <w:sz w:val="20"/>
                <w:szCs w:val="20"/>
              </w:rPr>
            </w:pPr>
            <w:r>
              <w:rPr>
                <w:rFonts w:cs="Calibri" w:ascii="Avenir Next" w:hAnsi="Avenir Next"/>
                <w:b/>
                <w:bCs/>
                <w:color w:val="000000"/>
                <w:sz w:val="20"/>
                <w:szCs w:val="20"/>
              </w:rPr>
              <w:t>Ending Balance as at 31 May 2017</w:t>
            </w:r>
          </w:p>
        </w:tc>
        <w:tc>
          <w:tcPr>
            <w:tcW w:w="2971" w:type="dxa"/>
            <w:tcBorders/>
            <w:shd w:color="auto" w:fill="E87349" w:val="clear"/>
            <w:vAlign w:val="bottom"/>
          </w:tcPr>
          <w:p>
            <w:pPr>
              <w:pStyle w:val="Normal"/>
              <w:rPr>
                <w:rFonts w:ascii="Avenir Next" w:hAnsi="Avenir Next" w:eastAsia="Times New Roman"/>
                <w:color w:val="FFFFFF"/>
                <w:sz w:val="20"/>
                <w:szCs w:val="20"/>
              </w:rPr>
            </w:pPr>
            <w:r>
              <w:rPr>
                <w:rFonts w:eastAsia="Times New Roman" w:ascii="Avenir Next" w:hAnsi="Avenir Next"/>
                <w:color w:val="FFFFFF"/>
                <w:sz w:val="20"/>
                <w:szCs w:val="20"/>
              </w:rPr>
            </w:r>
          </w:p>
        </w:tc>
        <w:tc>
          <w:tcPr>
            <w:tcW w:w="2880" w:type="dxa"/>
            <w:tcBorders/>
            <w:shd w:color="auto" w:fill="E87349" w:val="clear"/>
            <w:vAlign w:val="bottom"/>
          </w:tcPr>
          <w:p>
            <w:pPr>
              <w:pStyle w:val="Normal"/>
              <w:ind w:right="1167" w:hanging="0"/>
              <w:jc w:val="right"/>
              <w:rPr>
                <w:rFonts w:ascii="Avenir Next" w:hAnsi="Avenir Next"/>
                <w:b/>
                <w:b/>
                <w:color w:val="FFFFFF"/>
                <w:sz w:val="20"/>
                <w:szCs w:val="20"/>
              </w:rPr>
            </w:pPr>
            <w:r>
              <w:rPr>
                <w:rFonts w:cs="Calibri" w:ascii="Avenir Next" w:hAnsi="Avenir Next"/>
                <w:b/>
                <w:bCs/>
                <w:color w:val="000000"/>
                <w:sz w:val="20"/>
                <w:szCs w:val="20"/>
              </w:rPr>
              <w:t xml:space="preserve"> </w:t>
            </w:r>
            <w:r>
              <w:rPr>
                <w:rFonts w:cs="Calibri" w:ascii="Avenir Next" w:hAnsi="Avenir Next"/>
                <w:b/>
                <w:bCs/>
                <w:color w:val="000000"/>
                <w:sz w:val="20"/>
                <w:szCs w:val="20"/>
              </w:rPr>
              <w:t xml:space="preserve">3,684,516.88 </w:t>
            </w:r>
          </w:p>
        </w:tc>
        <w:tc>
          <w:tcPr>
            <w:tcW w:w="990" w:type="dxa"/>
            <w:tcBorders/>
            <w:shd w:color="auto" w:fill="auto" w:val="clear"/>
          </w:tcPr>
          <w:p>
            <w:pPr>
              <w:pStyle w:val="Normal"/>
              <w:rPr>
                <w:rFonts w:ascii="Avenir Next" w:hAnsi="Avenir Next" w:eastAsia="Times New Roman"/>
                <w:color w:val="FFFFFF"/>
                <w:sz w:val="20"/>
                <w:szCs w:val="20"/>
              </w:rPr>
            </w:pPr>
            <w:r>
              <w:rPr>
                <w:rFonts w:eastAsia="Times New Roman" w:ascii="Avenir Next" w:hAnsi="Avenir Next"/>
                <w:color w:val="FFFFFF"/>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eastAsia="Times New Roman" w:ascii="Avenir Next" w:hAnsi="Avenir Next"/>
                <w:b/>
                <w:color w:val="000000"/>
                <w:sz w:val="20"/>
                <w:szCs w:val="20"/>
              </w:rPr>
              <w:t> </w:t>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cs="Calibri" w:ascii="Avenir Next" w:hAnsi="Avenir Next"/>
                <w:b/>
                <w:bCs/>
                <w:color w:val="000000"/>
                <w:sz w:val="20"/>
                <w:szCs w:val="20"/>
              </w:rPr>
              <w:t>Futures Metal Trading</w:t>
            </w:r>
          </w:p>
        </w:tc>
        <w:tc>
          <w:tcPr>
            <w:tcW w:w="2971"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eastAsia="Times New Roman" w:ascii="Avenir Next" w:hAnsi="Avenir Next"/>
                <w:b/>
                <w:color w:val="000000"/>
                <w:sz w:val="20"/>
                <w:szCs w:val="20"/>
              </w:rPr>
            </w:r>
          </w:p>
        </w:tc>
        <w:tc>
          <w:tcPr>
            <w:tcW w:w="2880" w:type="dxa"/>
            <w:tcBorders>
              <w:bottom w:val="single" w:sz="4" w:space="0" w:color="00000A"/>
              <w:insideH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b/>
                <w:bCs/>
                <w:color w:val="000000"/>
                <w:sz w:val="20"/>
                <w:szCs w:val="20"/>
              </w:rPr>
              <w:t xml:space="preserve"> </w:t>
            </w:r>
            <w:r>
              <w:rPr>
                <w:rFonts w:cs="Calibri" w:ascii="Avenir Next" w:hAnsi="Avenir Next"/>
                <w:b/>
                <w:bCs/>
                <w:color w:val="000000"/>
                <w:sz w:val="20"/>
                <w:szCs w:val="20"/>
              </w:rPr>
              <w:t xml:space="preserve">76,398.88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2%</w:t>
            </w:r>
          </w:p>
        </w:tc>
      </w:tr>
      <w:tr>
        <w:trPr/>
        <w:tc>
          <w:tcPr>
            <w:tcW w:w="1097"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top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eastAsia="Times New Roman" w:ascii="Avenir Next" w:hAnsi="Avenir Next"/>
                <w:b/>
                <w:color w:val="000000"/>
                <w:sz w:val="20"/>
                <w:szCs w:val="20"/>
              </w:rPr>
              <w:t> </w:t>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cs="Calibri" w:ascii="Avenir Next" w:hAnsi="Avenir Next"/>
                <w:b/>
                <w:bCs/>
                <w:color w:val="000000"/>
                <w:sz w:val="20"/>
                <w:szCs w:val="20"/>
              </w:rPr>
              <w:t>Securities</w:t>
            </w:r>
          </w:p>
        </w:tc>
        <w:tc>
          <w:tcPr>
            <w:tcW w:w="2971"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eastAsia="Times New Roman" w:ascii="Avenir Next" w:hAnsi="Avenir Next"/>
                <w:b/>
                <w:color w:val="000000"/>
                <w:sz w:val="20"/>
                <w:szCs w:val="20"/>
              </w:rPr>
            </w:r>
          </w:p>
        </w:tc>
        <w:tc>
          <w:tcPr>
            <w:tcW w:w="2880" w:type="dxa"/>
            <w:tcBorders>
              <w:bottom w:val="single" w:sz="4" w:space="0" w:color="00000A"/>
              <w:insideH w:val="single" w:sz="4" w:space="0" w:color="00000A"/>
            </w:tcBorders>
            <w:shd w:color="auto" w:fill="auto" w:val="clear"/>
            <w:vAlign w:val="bottom"/>
          </w:tcPr>
          <w:p>
            <w:pPr>
              <w:pStyle w:val="ListParagraph"/>
              <w:ind w:left="720" w:right="1367" w:hanging="0"/>
              <w:jc w:val="right"/>
              <w:rPr>
                <w:rFonts w:ascii="Avenir Next" w:hAnsi="Avenir Next"/>
                <w:b/>
                <w:b/>
                <w:color w:val="002041"/>
                <w:sz w:val="20"/>
                <w:szCs w:val="20"/>
              </w:rPr>
            </w:pPr>
            <w:r>
              <w:rPr>
                <w:rFonts w:cs="Calibri" w:ascii="Avenir Next" w:hAnsi="Avenir Next"/>
                <w:b/>
                <w:bCs/>
                <w:color w:val="000000"/>
                <w:sz w:val="20"/>
                <w:szCs w:val="20"/>
              </w:rPr>
              <w:t xml:space="preserve">  </w:t>
            </w:r>
            <w:r>
              <w:rPr>
                <w:rFonts w:cs="Calibri" w:ascii="Avenir Next" w:hAnsi="Avenir Next"/>
                <w:b/>
                <w:bCs/>
                <w:color w:val="000000"/>
                <w:sz w:val="20"/>
                <w:szCs w:val="20"/>
              </w:rPr>
              <w:t xml:space="preserve">-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0%</w:t>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ascii="Avenir Next" w:hAnsi="Avenir Next"/>
                <w:b/>
                <w:color w:val="002041"/>
                <w:sz w:val="20"/>
                <w:szCs w:val="20"/>
              </w:rPr>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eastAsia="Times New Roman" w:ascii="Avenir Next" w:hAnsi="Avenir Next"/>
                <w:b/>
                <w:color w:val="000000"/>
                <w:sz w:val="20"/>
                <w:szCs w:val="20"/>
              </w:rPr>
              <w:t> </w:t>
            </w:r>
          </w:p>
        </w:tc>
        <w:tc>
          <w:tcPr>
            <w:tcW w:w="6660"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cs="Calibri" w:ascii="Avenir Next" w:hAnsi="Avenir Next"/>
                <w:b/>
                <w:bCs/>
                <w:color w:val="000000"/>
                <w:sz w:val="20"/>
                <w:szCs w:val="20"/>
              </w:rPr>
              <w:t>Physical Metal Trading</w:t>
            </w:r>
            <w:r>
              <w:rPr>
                <w:rStyle w:val="Font01"/>
                <w:rFonts w:ascii="Avenir Next" w:hAnsi="Avenir Next"/>
                <w:sz w:val="20"/>
                <w:szCs w:val="20"/>
              </w:rPr>
              <w:t xml:space="preserve"> </w:t>
            </w:r>
            <w:r>
              <w:rPr>
                <w:rStyle w:val="Font91"/>
                <w:rFonts w:ascii="Avenir Next" w:hAnsi="Avenir Next"/>
                <w:sz w:val="20"/>
                <w:szCs w:val="20"/>
              </w:rPr>
              <w:t>(Refer to 'Nickel deals' tab for more details)</w:t>
            </w:r>
          </w:p>
        </w:tc>
        <w:tc>
          <w:tcPr>
            <w:tcW w:w="2971"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b/>
                <w:b/>
                <w:color w:val="000000"/>
                <w:sz w:val="20"/>
                <w:szCs w:val="20"/>
              </w:rPr>
            </w:pPr>
            <w:r>
              <w:rPr>
                <w:rFonts w:eastAsia="Times New Roman" w:ascii="Avenir Next" w:hAnsi="Avenir Next"/>
                <w:b/>
                <w:color w:val="000000"/>
                <w:sz w:val="20"/>
                <w:szCs w:val="20"/>
              </w:rPr>
            </w:r>
          </w:p>
        </w:tc>
        <w:tc>
          <w:tcPr>
            <w:tcW w:w="2880" w:type="dxa"/>
            <w:tcBorders>
              <w:bottom w:val="single" w:sz="4" w:space="0" w:color="00000A"/>
              <w:insideH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b/>
                <w:bCs/>
                <w:color w:val="000000"/>
                <w:sz w:val="20"/>
                <w:szCs w:val="20"/>
              </w:rPr>
              <w:t xml:space="preserve"> </w:t>
            </w:r>
            <w:r>
              <w:rPr>
                <w:rFonts w:cs="Calibri" w:ascii="Avenir Next" w:hAnsi="Avenir Next"/>
                <w:b/>
                <w:bCs/>
                <w:color w:val="000000"/>
                <w:sz w:val="20"/>
                <w:szCs w:val="20"/>
              </w:rPr>
              <w:t xml:space="preserve">3,608,118.00 </w:t>
            </w:r>
          </w:p>
        </w:tc>
        <w:tc>
          <w:tcPr>
            <w:tcW w:w="990" w:type="dxa"/>
            <w:tcBorders>
              <w:bottom w:val="single" w:sz="4" w:space="0" w:color="00000A"/>
              <w:insideH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98%</w:t>
            </w:r>
          </w:p>
        </w:tc>
      </w:tr>
      <w:tr>
        <w:trPr/>
        <w:tc>
          <w:tcPr>
            <w:tcW w:w="1097"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Mar 2017 Nickel contract</w:t>
            </w:r>
          </w:p>
        </w:tc>
        <w:tc>
          <w:tcPr>
            <w:tcW w:w="2971"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top w:val="single" w:sz="4" w:space="0" w:color="00000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color w:val="000000"/>
                <w:sz w:val="20"/>
                <w:szCs w:val="20"/>
              </w:rPr>
              <w:t xml:space="preserve"> </w:t>
            </w:r>
            <w:r>
              <w:rPr>
                <w:rFonts w:cs="Calibri" w:ascii="Avenir Next" w:hAnsi="Avenir Next"/>
                <w:color w:val="000000"/>
                <w:sz w:val="20"/>
                <w:szCs w:val="20"/>
              </w:rPr>
              <w:t xml:space="preserve">600,000.00 </w:t>
            </w:r>
          </w:p>
        </w:tc>
        <w:tc>
          <w:tcPr>
            <w:tcW w:w="990" w:type="dxa"/>
            <w:tcBorders>
              <w:top w:val="single" w:sz="4" w:space="0" w:color="00000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16%</w:t>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April 2017 Nickel contract</w:t>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color w:val="000000"/>
                <w:sz w:val="20"/>
                <w:szCs w:val="20"/>
              </w:rPr>
              <w:t xml:space="preserve"> </w:t>
            </w:r>
            <w:r>
              <w:rPr>
                <w:rFonts w:cs="Calibri" w:ascii="Avenir Next" w:hAnsi="Avenir Next"/>
                <w:color w:val="000000"/>
                <w:sz w:val="20"/>
                <w:szCs w:val="20"/>
              </w:rPr>
              <w:t xml:space="preserve">250,000.00 </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7%</w:t>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May 2017 Nickel contract</w:t>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b/>
                <w:b/>
                <w:color w:val="002041"/>
                <w:sz w:val="20"/>
                <w:szCs w:val="20"/>
              </w:rPr>
            </w:pPr>
            <w:r>
              <w:rPr>
                <w:rFonts w:cs="Calibri" w:ascii="Avenir Next" w:hAnsi="Avenir Next"/>
                <w:color w:val="000000"/>
                <w:sz w:val="20"/>
                <w:szCs w:val="20"/>
              </w:rPr>
              <w:t xml:space="preserve"> </w:t>
            </w:r>
            <w:r>
              <w:rPr>
                <w:rFonts w:cs="Calibri" w:ascii="Avenir Next" w:hAnsi="Avenir Next"/>
                <w:color w:val="000000"/>
                <w:sz w:val="20"/>
                <w:szCs w:val="20"/>
              </w:rPr>
              <w:t xml:space="preserve">1,326,150.00 </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cs="Calibri" w:ascii="Avenir Next" w:hAnsi="Avenir Next"/>
                <w:color w:val="000000"/>
                <w:sz w:val="20"/>
                <w:szCs w:val="20"/>
              </w:rPr>
              <w:t>36%</w:t>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ind w:right="1167" w:hanging="0"/>
              <w:jc w:val="right"/>
              <w:rPr>
                <w:rFonts w:ascii="Avenir Next" w:hAnsi="Avenir Next" w:eastAsia="Times New Roman"/>
                <w:color w:val="000000"/>
                <w:sz w:val="20"/>
                <w:szCs w:val="20"/>
              </w:rPr>
            </w:pPr>
            <w:r>
              <w:rPr>
                <w:rFonts w:eastAsia="Times New Roman" w:ascii="Avenir Next" w:hAnsi="Avenir Next"/>
                <w:color w:val="000000"/>
                <w:sz w:val="20"/>
                <w:szCs w:val="20"/>
              </w:rPr>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002041" w:val="clear"/>
            <w:vAlign w:val="bottom"/>
          </w:tcPr>
          <w:p>
            <w:pPr>
              <w:pStyle w:val="Normal"/>
              <w:rPr>
                <w:rFonts w:ascii="Avenir Next" w:hAnsi="Avenir Next" w:eastAsia="Times New Roman"/>
                <w:color w:val="000000"/>
                <w:sz w:val="20"/>
                <w:szCs w:val="20"/>
              </w:rPr>
            </w:pPr>
            <w:r>
              <w:rPr>
                <w:rFonts w:eastAsia="Times New Roman" w:ascii="Avenir Next" w:hAnsi="Avenir Next"/>
                <w:b/>
                <w:bCs/>
                <w:color w:val="FFD839"/>
                <w:sz w:val="20"/>
                <w:szCs w:val="20"/>
              </w:rPr>
              <w:t>Description of Contract entered</w:t>
            </w:r>
          </w:p>
        </w:tc>
        <w:tc>
          <w:tcPr>
            <w:tcW w:w="2971" w:type="dxa"/>
            <w:tcBorders/>
            <w:shd w:color="auto" w:fill="002041"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b/>
                <w:color w:val="FFD839"/>
                <w:sz w:val="20"/>
                <w:szCs w:val="20"/>
              </w:rPr>
              <w:t xml:space="preserve">SGD                                                </w:t>
            </w:r>
          </w:p>
        </w:tc>
        <w:tc>
          <w:tcPr>
            <w:tcW w:w="2880" w:type="dxa"/>
            <w:tcBorders/>
            <w:shd w:color="auto" w:fill="002041" w:val="clear"/>
            <w:vAlign w:val="bottom"/>
          </w:tcPr>
          <w:p>
            <w:pPr>
              <w:pStyle w:val="Normal"/>
              <w:rPr>
                <w:rFonts w:ascii="Avenir Next" w:hAnsi="Avenir Next" w:eastAsia="Times New Roman"/>
                <w:color w:val="000000"/>
                <w:sz w:val="20"/>
                <w:szCs w:val="20"/>
              </w:rPr>
            </w:pPr>
            <w:r>
              <w:rPr>
                <w:rFonts w:eastAsia="Times New Roman" w:ascii="Avenir Next" w:hAnsi="Avenir Next"/>
                <w:b/>
                <w:color w:val="FFD839"/>
                <w:sz w:val="20"/>
                <w:szCs w:val="20"/>
              </w:rPr>
              <w:t>Maturity of Lock-In Capital</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Investment Portfolio</w:t>
            </w:r>
          </w:p>
        </w:tc>
        <w:tc>
          <w:tcPr>
            <w:tcW w:w="2971" w:type="dxa"/>
            <w:tcBorders/>
            <w:shd w:color="auto" w:fill="auto"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 xml:space="preserve">50,000.00 </w:t>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30 May 2016 – 30 Nov 2016</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Jan 2017 Nickel contract</w:t>
            </w:r>
          </w:p>
        </w:tc>
        <w:tc>
          <w:tcPr>
            <w:tcW w:w="2971" w:type="dxa"/>
            <w:tcBorders/>
            <w:shd w:color="auto" w:fill="auto"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color w:val="000000"/>
                <w:sz w:val="20"/>
                <w:szCs w:val="20"/>
              </w:rPr>
              <w:t>1,080,000.00</w:t>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27 Jan 2017 – 26 Apr 2017</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Feb 2017 Nickel contract</w:t>
            </w:r>
          </w:p>
        </w:tc>
        <w:tc>
          <w:tcPr>
            <w:tcW w:w="2971" w:type="dxa"/>
            <w:tcBorders/>
            <w:shd w:color="auto" w:fill="auto"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1,250,000.00</w:t>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22 Feb 2017 – 21 May 2017</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Mar 2017 Nickel contract</w:t>
            </w:r>
          </w:p>
        </w:tc>
        <w:tc>
          <w:tcPr>
            <w:tcW w:w="2971" w:type="dxa"/>
            <w:tcBorders/>
            <w:shd w:color="auto" w:fill="auto"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 xml:space="preserve">938,340.00 </w:t>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22 Mar 2017 – 21 Jun 2017</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Apr 2017 Nickel contract</w:t>
            </w:r>
          </w:p>
        </w:tc>
        <w:tc>
          <w:tcPr>
            <w:tcW w:w="2971" w:type="dxa"/>
            <w:tcBorders/>
            <w:shd w:color="auto" w:fill="auto"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color w:val="000000"/>
                <w:sz w:val="20"/>
                <w:szCs w:val="20"/>
              </w:rPr>
              <w:t xml:space="preserve"> </w:t>
            </w:r>
            <w:r>
              <w:rPr>
                <w:rFonts w:eastAsia="Times New Roman" w:ascii="Avenir Next" w:hAnsi="Avenir Next"/>
                <w:color w:val="000000"/>
                <w:sz w:val="20"/>
                <w:szCs w:val="20"/>
              </w:rPr>
              <w:t xml:space="preserve">1,343,628.00 </w:t>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28 Apr 2017 – 27 Jul 2017</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May 2017 Nickel contract</w:t>
            </w:r>
          </w:p>
        </w:tc>
        <w:tc>
          <w:tcPr>
            <w:tcW w:w="2971" w:type="dxa"/>
            <w:tcBorders/>
            <w:shd w:color="auto" w:fill="auto" w:val="clear"/>
            <w:vAlign w:val="bottom"/>
          </w:tcPr>
          <w:p>
            <w:pPr>
              <w:pStyle w:val="Normal"/>
              <w:ind w:right="697" w:hanging="0"/>
              <w:jc w:val="right"/>
              <w:rPr>
                <w:rFonts w:ascii="Avenir Next" w:hAnsi="Avenir Next" w:eastAsia="Times New Roman"/>
                <w:color w:val="000000"/>
                <w:sz w:val="20"/>
                <w:szCs w:val="20"/>
              </w:rPr>
            </w:pPr>
            <w:r>
              <w:rPr>
                <w:rFonts w:eastAsia="Times New Roman" w:ascii="Avenir Next" w:hAnsi="Avenir Next"/>
                <w:color w:val="000000"/>
                <w:sz w:val="20"/>
                <w:szCs w:val="20"/>
              </w:rPr>
              <w:t>1,</w:t>
            </w:r>
            <w:r>
              <w:rPr>
                <w:rFonts w:cs="Calibri" w:ascii="Avenir Next" w:hAnsi="Avenir Next"/>
                <w:color w:val="000000"/>
                <w:sz w:val="20"/>
                <w:szCs w:val="20"/>
              </w:rPr>
              <w:t>326,150</w:t>
            </w:r>
            <w:r>
              <w:rPr>
                <w:rFonts w:eastAsia="Times New Roman" w:ascii="Avenir Next" w:hAnsi="Avenir Next"/>
                <w:color w:val="000000"/>
                <w:sz w:val="20"/>
                <w:szCs w:val="20"/>
              </w:rPr>
              <w:t>.00</w:t>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t>22 May 2017 – 21 Aug 2017</w:t>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r>
        <w:trPr/>
        <w:tc>
          <w:tcPr>
            <w:tcW w:w="1097"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666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971"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288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c>
          <w:tcPr>
            <w:tcW w:w="990" w:type="dxa"/>
            <w:tcBorders/>
            <w:shd w:color="auto" w:fill="auto" w:val="clear"/>
            <w:vAlign w:val="bottom"/>
          </w:tcPr>
          <w:p>
            <w:pPr>
              <w:pStyle w:val="Normal"/>
              <w:rPr>
                <w:rFonts w:ascii="Avenir Next" w:hAnsi="Avenir Next" w:eastAsia="Times New Roman"/>
                <w:color w:val="000000"/>
                <w:sz w:val="20"/>
                <w:szCs w:val="20"/>
              </w:rPr>
            </w:pPr>
            <w:r>
              <w:rPr>
                <w:rFonts w:eastAsia="Times New Roman" w:ascii="Avenir Next" w:hAnsi="Avenir Next"/>
                <w:color w:val="000000"/>
                <w:sz w:val="20"/>
                <w:szCs w:val="20"/>
              </w:rPr>
            </w:r>
          </w:p>
        </w:tc>
      </w:tr>
    </w:tbl>
    <w:p>
      <w:pPr>
        <w:pStyle w:val="Normal"/>
        <w:rPr>
          <w:rFonts w:ascii="Avenir Next" w:hAnsi="Avenir Next"/>
          <w:b/>
          <w:b/>
          <w:color w:val="002041"/>
          <w:sz w:val="20"/>
          <w:szCs w:val="20"/>
        </w:rPr>
      </w:pPr>
      <w:r>
        <w:rPr>
          <w:rFonts w:ascii="Avenir Next" w:hAnsi="Avenir Next"/>
          <w:b/>
          <w:color w:val="002041"/>
          <w:sz w:val="20"/>
          <w:szCs w:val="20"/>
        </w:rPr>
      </w:r>
      <w:r>
        <w:br w:type="page"/>
      </w:r>
    </w:p>
    <w:p>
      <w:pPr>
        <w:pStyle w:val="Normal"/>
        <w:numPr>
          <w:ilvl w:val="0"/>
          <w:numId w:val="0"/>
        </w:numPr>
        <w:ind w:left="-426" w:hanging="0"/>
        <w:outlineLvl w:val="0"/>
        <w:rPr>
          <w:rFonts w:ascii="Avenir Next" w:hAnsi="Avenir Next"/>
          <w:b/>
          <w:b/>
          <w:color w:val="002041"/>
        </w:rPr>
      </w:pPr>
      <w:r>
        <w:rPr>
          <w:rFonts w:ascii="Avenir Next" w:hAnsi="Avenir Next"/>
          <w:b/>
          <w:color w:val="002041"/>
        </w:rPr>
        <w:t>Appendix II – Metals</w:t>
      </w:r>
    </w:p>
    <w:p>
      <w:pPr>
        <w:pStyle w:val="Normal"/>
        <w:numPr>
          <w:ilvl w:val="0"/>
          <w:numId w:val="0"/>
        </w:numPr>
        <w:ind w:left="-426" w:hanging="0"/>
        <w:outlineLvl w:val="0"/>
        <w:rPr>
          <w:rFonts w:ascii="Avenir Next" w:hAnsi="Avenir Next"/>
          <w:b/>
          <w:b/>
          <w:color w:val="002041"/>
        </w:rPr>
      </w:pPr>
      <w:r>
        <w:rPr>
          <w:rFonts w:ascii="Avenir Next" w:hAnsi="Avenir Next"/>
          <w:b/>
          <w:color w:val="002041"/>
        </w:rPr>
      </w:r>
    </w:p>
    <w:tbl>
      <w:tblPr>
        <w:tblStyle w:val="TableGrid"/>
        <w:tblW w:w="9860" w:type="dxa"/>
        <w:jc w:val="left"/>
        <w:tblInd w:w="-599" w:type="dxa"/>
        <w:tblCellMar>
          <w:top w:w="15" w:type="dxa"/>
          <w:left w:w="108" w:type="dxa"/>
          <w:bottom w:w="15" w:type="dxa"/>
          <w:right w:w="108" w:type="dxa"/>
        </w:tblCellMar>
        <w:tblLook w:firstRow="1" w:noVBand="1" w:lastRow="0" w:firstColumn="1" w:lastColumn="0" w:noHBand="0" w:val="04a0"/>
      </w:tblPr>
      <w:tblGrid>
        <w:gridCol w:w="1901"/>
        <w:gridCol w:w="623"/>
        <w:gridCol w:w="740"/>
        <w:gridCol w:w="702"/>
        <w:gridCol w:w="34"/>
        <w:gridCol w:w="740"/>
        <w:gridCol w:w="678"/>
        <w:gridCol w:w="202"/>
        <w:gridCol w:w="493"/>
        <w:gridCol w:w="774"/>
        <w:gridCol w:w="133"/>
        <w:gridCol w:w="577"/>
        <w:gridCol w:w="579"/>
        <w:gridCol w:w="283"/>
        <w:gridCol w:w="559"/>
        <w:gridCol w:w="841"/>
      </w:tblGrid>
      <w:tr>
        <w:trPr/>
        <w:tc>
          <w:tcPr>
            <w:tcW w:w="1901"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Commodity</w:t>
            </w:r>
          </w:p>
        </w:tc>
        <w:tc>
          <w:tcPr>
            <w:tcW w:w="623"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Position</w:t>
            </w:r>
          </w:p>
        </w:tc>
        <w:tc>
          <w:tcPr>
            <w:tcW w:w="74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Entry Date</w:t>
            </w:r>
          </w:p>
        </w:tc>
        <w:tc>
          <w:tcPr>
            <w:tcW w:w="702"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Entry Price</w:t>
            </w:r>
          </w:p>
        </w:tc>
        <w:tc>
          <w:tcPr>
            <w:tcW w:w="774" w:type="dxa"/>
            <w:gridSpan w:val="2"/>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Entry Value</w:t>
            </w:r>
          </w:p>
        </w:tc>
        <w:tc>
          <w:tcPr>
            <w:tcW w:w="678"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Exit Date</w:t>
            </w:r>
          </w:p>
        </w:tc>
        <w:tc>
          <w:tcPr>
            <w:tcW w:w="695" w:type="dxa"/>
            <w:gridSpan w:val="2"/>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Exit Price</w:t>
            </w:r>
          </w:p>
        </w:tc>
        <w:tc>
          <w:tcPr>
            <w:tcW w:w="774"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Exit Value</w:t>
            </w:r>
          </w:p>
        </w:tc>
        <w:tc>
          <w:tcPr>
            <w:tcW w:w="1289" w:type="dxa"/>
            <w:gridSpan w:val="3"/>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Realised Gain/(Loss)</w:t>
            </w:r>
          </w:p>
        </w:tc>
        <w:tc>
          <w:tcPr>
            <w:tcW w:w="1683" w:type="dxa"/>
            <w:gridSpan w:val="3"/>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olor w:val="FFFFFF" w:themeColor="background1"/>
                <w:sz w:val="20"/>
                <w:szCs w:val="20"/>
                <w:lang w:val="en-GB"/>
              </w:rPr>
            </w:pPr>
            <w:r>
              <w:rPr>
                <w:rFonts w:eastAsia="Times New Roman" w:ascii="Avenir Next" w:hAnsi="Avenir Next"/>
                <w:b/>
                <w:bCs/>
                <w:color w:val="FFFFFF" w:themeColor="background1"/>
                <w:sz w:val="20"/>
                <w:szCs w:val="20"/>
                <w:lang w:val="en-GB"/>
              </w:rPr>
              <w:t>Profit/Loss after transaction fees</w:t>
            </w:r>
          </w:p>
        </w:tc>
      </w:tr>
      <w:tr>
        <w:trPr/>
        <w:tc>
          <w:tcPr>
            <w:tcW w:w="1901" w:type="dxa"/>
            <w:tcBorders>
              <w:top w:val="nil"/>
              <w:left w:val="nil"/>
              <w:bottom w:val="nil"/>
              <w:right w:val="nil"/>
              <w:insideH w:val="nil"/>
              <w:insideV w:val="nil"/>
            </w:tcBorders>
            <w:shd w:fill="auto" w:val="clear"/>
          </w:tcPr>
          <w:p>
            <w:pPr>
              <w:pStyle w:val="Normal"/>
              <w:numPr>
                <w:ilvl w:val="0"/>
                <w:numId w:val="0"/>
              </w:numPr>
              <w:outlineLvl w:val="0"/>
              <w:rPr>
                <w:rFonts w:ascii="Avenir Next" w:hAnsi="Avenir Next"/>
                <w:b/>
                <w:b/>
                <w:color w:val="002041"/>
                <w:sz w:val="20"/>
                <w:szCs w:val="20"/>
              </w:rPr>
            </w:pPr>
            <w:r>
              <w:rPr>
                <w:rFonts w:ascii="Avenir Next" w:hAnsi="Avenir Next"/>
                <w:b/>
                <w:color w:val="002041"/>
                <w:sz w:val="20"/>
                <w:szCs w:val="20"/>
              </w:rPr>
            </w:r>
          </w:p>
        </w:tc>
        <w:tc>
          <w:tcPr>
            <w:tcW w:w="623" w:type="dxa"/>
            <w:tcBorders>
              <w:top w:val="nil"/>
              <w:left w:val="nil"/>
              <w:bottom w:val="nil"/>
              <w:right w:val="nil"/>
              <w:insideH w:val="nil"/>
              <w:insideV w:val="nil"/>
            </w:tcBorders>
            <w:shd w:fill="auto" w:val="clear"/>
          </w:tcPr>
          <w:p>
            <w:pPr>
              <w:pStyle w:val="Normal"/>
              <w:numPr>
                <w:ilvl w:val="0"/>
                <w:numId w:val="0"/>
              </w:numPr>
              <w:outlineLvl w:val="0"/>
              <w:rPr>
                <w:rFonts w:ascii="Avenir Next" w:hAnsi="Avenir Next"/>
                <w:b/>
                <w:b/>
                <w:color w:val="002041"/>
                <w:sz w:val="20"/>
                <w:szCs w:val="20"/>
              </w:rPr>
            </w:pPr>
            <w:r>
              <w:rPr>
                <w:rFonts w:ascii="Avenir Next" w:hAnsi="Avenir Next"/>
                <w:b/>
                <w:color w:val="002041"/>
                <w:sz w:val="20"/>
                <w:szCs w:val="20"/>
              </w:rPr>
            </w:r>
          </w:p>
        </w:tc>
        <w:tc>
          <w:tcPr>
            <w:tcW w:w="740" w:type="dxa"/>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702" w:type="dxa"/>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774" w:type="dxa"/>
            <w:gridSpan w:val="2"/>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678" w:type="dxa"/>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695" w:type="dxa"/>
            <w:gridSpan w:val="2"/>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774" w:type="dxa"/>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710" w:type="dxa"/>
            <w:gridSpan w:val="2"/>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579" w:type="dxa"/>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w:t>
            </w:r>
          </w:p>
        </w:tc>
        <w:tc>
          <w:tcPr>
            <w:tcW w:w="842" w:type="dxa"/>
            <w:gridSpan w:val="2"/>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USD</w:t>
            </w:r>
          </w:p>
        </w:tc>
        <w:tc>
          <w:tcPr>
            <w:tcW w:w="841" w:type="dxa"/>
            <w:tcBorders>
              <w:top w:val="nil"/>
              <w:left w:val="nil"/>
              <w:bottom w:val="nil"/>
              <w:right w:val="nil"/>
              <w:insideH w:val="nil"/>
              <w:insideV w:val="nil"/>
            </w:tcBorders>
            <w:shd w:fill="auto" w:val="clear"/>
            <w:vAlign w:val="bottom"/>
          </w:tcPr>
          <w:p>
            <w:pPr>
              <w:pStyle w:val="Normal"/>
              <w:jc w:val="center"/>
              <w:rPr>
                <w:rFonts w:ascii="Avenir Next" w:hAnsi="Avenir Next" w:eastAsia="Times New Roman"/>
                <w:color w:val="000000"/>
                <w:sz w:val="20"/>
                <w:szCs w:val="20"/>
                <w:lang w:val="en-GB"/>
              </w:rPr>
            </w:pPr>
            <w:r>
              <w:rPr>
                <w:rFonts w:eastAsia="Times New Roman" w:ascii="Avenir Next" w:hAnsi="Avenir Next"/>
                <w:color w:val="000000"/>
                <w:sz w:val="20"/>
                <w:szCs w:val="20"/>
                <w:lang w:val="en-GB"/>
              </w:rPr>
              <w:t>SGD</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Aluminium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13/4/2017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1,903.00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285,450.00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1,940.00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291,000.00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5,550.00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1.94%</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4,108.88</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5,697.12</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Aluminium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13/4/2017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1,904.00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285,600.00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1,941.00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291,150.00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5,550.00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1.94%</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4,108.13</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5,696.08</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Aluminium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1,898.00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284,700.00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1,938.00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290,700.00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6,000.00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2.11%</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4,561.50</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6,324.70</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Aluminium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1,900.00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285,000.00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1,944.00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291,600.00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6,600.00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2.32%</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5,158.50</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7,152.47</w:t>
            </w:r>
          </w:p>
        </w:tc>
      </w:tr>
      <w:tr>
        <w:trPr/>
        <w:tc>
          <w:tcPr>
            <w:tcW w:w="1901" w:type="dxa"/>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Aluminium (unrealised)</w:t>
            </w:r>
          </w:p>
        </w:tc>
        <w:tc>
          <w:tcPr>
            <w:tcW w:w="623"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Short</w:t>
            </w:r>
          </w:p>
        </w:tc>
        <w:tc>
          <w:tcPr>
            <w:tcW w:w="740"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13/4/2017</w:t>
            </w:r>
          </w:p>
        </w:tc>
        <w:tc>
          <w:tcPr>
            <w:tcW w:w="702"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1,903.00</w:t>
            </w:r>
          </w:p>
        </w:tc>
        <w:tc>
          <w:tcPr>
            <w:tcW w:w="774"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285,450.00</w:t>
            </w:r>
          </w:p>
        </w:tc>
        <w:tc>
          <w:tcPr>
            <w:tcW w:w="678"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28/4/2017</w:t>
            </w:r>
          </w:p>
        </w:tc>
        <w:tc>
          <w:tcPr>
            <w:tcW w:w="695"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1,930.00</w:t>
            </w:r>
          </w:p>
        </w:tc>
        <w:tc>
          <w:tcPr>
            <w:tcW w:w="774"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289,500.00</w:t>
            </w:r>
          </w:p>
        </w:tc>
        <w:tc>
          <w:tcPr>
            <w:tcW w:w="710"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-4,050.00</w:t>
            </w:r>
          </w:p>
        </w:tc>
        <w:tc>
          <w:tcPr>
            <w:tcW w:w="579"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-1.42%</w:t>
            </w:r>
          </w:p>
        </w:tc>
        <w:tc>
          <w:tcPr>
            <w:tcW w:w="842"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-5,774.85</w:t>
            </w:r>
          </w:p>
        </w:tc>
        <w:tc>
          <w:tcPr>
            <w:tcW w:w="841"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-7,991.53</w:t>
            </w:r>
          </w:p>
        </w:tc>
      </w:tr>
      <w:tr>
        <w:trPr/>
        <w:tc>
          <w:tcPr>
            <w:tcW w:w="1901" w:type="dxa"/>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Aluminium (unrealised)</w:t>
            </w:r>
          </w:p>
        </w:tc>
        <w:tc>
          <w:tcPr>
            <w:tcW w:w="623"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Short</w:t>
            </w:r>
          </w:p>
        </w:tc>
        <w:tc>
          <w:tcPr>
            <w:tcW w:w="740"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13/4/2017</w:t>
            </w:r>
          </w:p>
        </w:tc>
        <w:tc>
          <w:tcPr>
            <w:tcW w:w="702"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1,904.00</w:t>
            </w:r>
          </w:p>
        </w:tc>
        <w:tc>
          <w:tcPr>
            <w:tcW w:w="774"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285,600.00</w:t>
            </w:r>
          </w:p>
        </w:tc>
        <w:tc>
          <w:tcPr>
            <w:tcW w:w="678"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28/4/2017</w:t>
            </w:r>
          </w:p>
        </w:tc>
        <w:tc>
          <w:tcPr>
            <w:tcW w:w="695"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1,930.00</w:t>
            </w:r>
          </w:p>
        </w:tc>
        <w:tc>
          <w:tcPr>
            <w:tcW w:w="774"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289,500.00</w:t>
            </w:r>
          </w:p>
        </w:tc>
        <w:tc>
          <w:tcPr>
            <w:tcW w:w="710"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-3,900.00</w:t>
            </w:r>
          </w:p>
        </w:tc>
        <w:tc>
          <w:tcPr>
            <w:tcW w:w="579"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-1.37%</w:t>
            </w:r>
          </w:p>
        </w:tc>
        <w:tc>
          <w:tcPr>
            <w:tcW w:w="842"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-5,625.30</w:t>
            </w:r>
          </w:p>
        </w:tc>
        <w:tc>
          <w:tcPr>
            <w:tcW w:w="841"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-7,784.57</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Nickel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Short</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20/2/2017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11,051.00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276,275.00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18/5/2017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9,003.00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225,075.00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51,200.00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18.53%</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49,695.95</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69,154.90</w:t>
            </w:r>
          </w:p>
        </w:tc>
      </w:tr>
      <w:tr>
        <w:trPr>
          <w:trHeight w:val="106" w:hRule="atLeast"/>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Nickel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26/4/2017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9,250.00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231,250.00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11/5/2017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9,300.00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232,500.00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1,250.00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0.54%</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90.63</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127.72</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Nickel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26/4/2017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9,255.00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231,375.00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11/5/2017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9,302.00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232,550.00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1,175.00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0.51%</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15.19</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21.40</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 xml:space="preserve">Nickel </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Short</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12/5/2017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9,325.00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233,125.00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31/5/2017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8,855.00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221,375.00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11,750.00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5.04%</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10,386.50</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14,373.36</w:t>
            </w:r>
          </w:p>
        </w:tc>
      </w:tr>
      <w:tr>
        <w:trPr/>
        <w:tc>
          <w:tcPr>
            <w:tcW w:w="1901" w:type="dxa"/>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Nickel (unrealised)</w:t>
            </w:r>
          </w:p>
        </w:tc>
        <w:tc>
          <w:tcPr>
            <w:tcW w:w="623"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31/5/2017</w:t>
            </w:r>
          </w:p>
        </w:tc>
        <w:tc>
          <w:tcPr>
            <w:tcW w:w="702"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8,860.00</w:t>
            </w:r>
          </w:p>
        </w:tc>
        <w:tc>
          <w:tcPr>
            <w:tcW w:w="774"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221,500.00</w:t>
            </w:r>
          </w:p>
        </w:tc>
        <w:tc>
          <w:tcPr>
            <w:tcW w:w="678"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31/5/2017</w:t>
            </w:r>
          </w:p>
        </w:tc>
        <w:tc>
          <w:tcPr>
            <w:tcW w:w="695"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8,810.00</w:t>
            </w:r>
          </w:p>
        </w:tc>
        <w:tc>
          <w:tcPr>
            <w:tcW w:w="774"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220,250.00</w:t>
            </w:r>
          </w:p>
        </w:tc>
        <w:tc>
          <w:tcPr>
            <w:tcW w:w="710"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-1,250.00</w:t>
            </w:r>
          </w:p>
        </w:tc>
        <w:tc>
          <w:tcPr>
            <w:tcW w:w="579"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FF0000"/>
                <w:sz w:val="20"/>
                <w:szCs w:val="20"/>
              </w:rPr>
              <w:t>-0.56%</w:t>
            </w:r>
          </w:p>
        </w:tc>
        <w:tc>
          <w:tcPr>
            <w:tcW w:w="842"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-2,354.38</w:t>
            </w:r>
          </w:p>
        </w:tc>
        <w:tc>
          <w:tcPr>
            <w:tcW w:w="841"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-3,258.10</w:t>
            </w:r>
          </w:p>
        </w:tc>
      </w:tr>
      <w:tr>
        <w:trPr/>
        <w:tc>
          <w:tcPr>
            <w:tcW w:w="1901" w:type="dxa"/>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Nickel (unrealised)</w:t>
            </w:r>
          </w:p>
        </w:tc>
        <w:tc>
          <w:tcPr>
            <w:tcW w:w="623"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31/5/2017</w:t>
            </w:r>
          </w:p>
        </w:tc>
        <w:tc>
          <w:tcPr>
            <w:tcW w:w="702"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8,815.00</w:t>
            </w:r>
          </w:p>
        </w:tc>
        <w:tc>
          <w:tcPr>
            <w:tcW w:w="774"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220,375.00</w:t>
            </w:r>
          </w:p>
        </w:tc>
        <w:tc>
          <w:tcPr>
            <w:tcW w:w="678"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31/5/2017</w:t>
            </w:r>
          </w:p>
        </w:tc>
        <w:tc>
          <w:tcPr>
            <w:tcW w:w="695"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8,810.00</w:t>
            </w:r>
          </w:p>
        </w:tc>
        <w:tc>
          <w:tcPr>
            <w:tcW w:w="774"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220,250.00</w:t>
            </w:r>
          </w:p>
        </w:tc>
        <w:tc>
          <w:tcPr>
            <w:tcW w:w="710"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-125.00</w:t>
            </w:r>
          </w:p>
        </w:tc>
        <w:tc>
          <w:tcPr>
            <w:tcW w:w="579"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FF0000"/>
                <w:sz w:val="20"/>
                <w:szCs w:val="20"/>
              </w:rPr>
              <w:t>-0.06%</w:t>
            </w:r>
          </w:p>
        </w:tc>
        <w:tc>
          <w:tcPr>
            <w:tcW w:w="842"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-1,226.56</w:t>
            </w:r>
          </w:p>
        </w:tc>
        <w:tc>
          <w:tcPr>
            <w:tcW w:w="841"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-1,697.38</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Copper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Short</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29/12/2016</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5,500.00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275,000.00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5,480.00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274,000.00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1,000.00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FF0000"/>
                <w:sz w:val="20"/>
                <w:szCs w:val="20"/>
              </w:rPr>
              <w:t>0.36%</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FF0000"/>
                <w:sz w:val="20"/>
                <w:szCs w:val="20"/>
              </w:rPr>
              <w:t>-647.00</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-908.77</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Copper (previously unrealised)</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Short</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5/4/2017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5,800.00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290,000.00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8/5/2017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5,488.00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274,400.00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15,600.00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5.38%</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13,906.80</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19,533.35</w:t>
            </w:r>
          </w:p>
        </w:tc>
      </w:tr>
      <w:tr>
        <w:trPr/>
        <w:tc>
          <w:tcPr>
            <w:tcW w:w="1901" w:type="dxa"/>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olor w:val="000000"/>
                <w:sz w:val="20"/>
                <w:szCs w:val="20"/>
                <w:lang w:val="en-GB"/>
              </w:rPr>
            </w:pPr>
            <w:r>
              <w:rPr>
                <w:rFonts w:cs="Calibri" w:ascii="Avenir Next" w:hAnsi="Avenir Next"/>
                <w:color w:val="000000"/>
                <w:sz w:val="20"/>
                <w:szCs w:val="20"/>
              </w:rPr>
              <w:t>Gold (unrealised)</w:t>
            </w:r>
          </w:p>
        </w:tc>
        <w:tc>
          <w:tcPr>
            <w:tcW w:w="623"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2/10/2015</w:t>
            </w:r>
          </w:p>
        </w:tc>
        <w:tc>
          <w:tcPr>
            <w:tcW w:w="702"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1,110.00</w:t>
            </w:r>
          </w:p>
        </w:tc>
        <w:tc>
          <w:tcPr>
            <w:tcW w:w="774"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333,000.00</w:t>
            </w:r>
          </w:p>
        </w:tc>
        <w:tc>
          <w:tcPr>
            <w:tcW w:w="678"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31/5/2017</w:t>
            </w:r>
          </w:p>
        </w:tc>
        <w:tc>
          <w:tcPr>
            <w:tcW w:w="695"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1,263.80</w:t>
            </w:r>
          </w:p>
        </w:tc>
        <w:tc>
          <w:tcPr>
            <w:tcW w:w="774"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0000"/>
                <w:sz w:val="20"/>
                <w:szCs w:val="20"/>
                <w:lang w:val="en-GB"/>
              </w:rPr>
            </w:pPr>
            <w:r>
              <w:rPr>
                <w:rFonts w:cs="Calibri" w:ascii="Avenir Next" w:hAnsi="Avenir Next"/>
                <w:color w:val="000000"/>
                <w:sz w:val="20"/>
                <w:szCs w:val="20"/>
              </w:rPr>
              <w:t>379,140.00</w:t>
            </w:r>
          </w:p>
        </w:tc>
        <w:tc>
          <w:tcPr>
            <w:tcW w:w="710"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46,140.00</w:t>
            </w:r>
          </w:p>
        </w:tc>
        <w:tc>
          <w:tcPr>
            <w:tcW w:w="579"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13.86%</w:t>
            </w:r>
          </w:p>
        </w:tc>
        <w:tc>
          <w:tcPr>
            <w:tcW w:w="842" w:type="dxa"/>
            <w:gridSpan w:val="2"/>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44,359.65</w:t>
            </w:r>
          </w:p>
        </w:tc>
        <w:tc>
          <w:tcPr>
            <w:tcW w:w="841" w:type="dxa"/>
            <w:tcBorders>
              <w:top w:val="nil"/>
              <w:left w:val="nil"/>
              <w:bottom w:val="nil"/>
              <w:right w:val="nil"/>
              <w:insideH w:val="nil"/>
              <w:insideV w:val="nil"/>
            </w:tcBorders>
            <w:shd w:color="auto" w:fill="FFF2CC" w:themeFill="accent4" w:themeFillTint="33" w:val="clear"/>
            <w:vAlign w:val="bottom"/>
          </w:tcPr>
          <w:p>
            <w:pPr>
              <w:pStyle w:val="Normal"/>
              <w:jc w:val="center"/>
              <w:rPr>
                <w:rFonts w:ascii="Avenir Next" w:hAnsi="Avenir Next" w:eastAsia="Times New Roman"/>
                <w:color w:val="00B050"/>
                <w:sz w:val="20"/>
                <w:szCs w:val="20"/>
                <w:lang w:val="en-GB"/>
              </w:rPr>
            </w:pPr>
            <w:r>
              <w:rPr>
                <w:rFonts w:cs="Calibri" w:ascii="Avenir Next" w:hAnsi="Avenir Next"/>
                <w:color w:val="00B050"/>
                <w:sz w:val="20"/>
                <w:szCs w:val="20"/>
              </w:rPr>
              <w:t>61,387.10</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cs="Calibri"/>
                <w:color w:val="000000"/>
                <w:sz w:val="20"/>
                <w:szCs w:val="20"/>
              </w:rPr>
            </w:pPr>
            <w:r>
              <w:rPr>
                <w:rFonts w:cs="Calibri" w:ascii="Avenir Next" w:hAnsi="Avenir Next"/>
                <w:color w:val="000000"/>
                <w:sz w:val="20"/>
                <w:szCs w:val="20"/>
              </w:rPr>
              <w:t>WTI Crude</w:t>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Long</w:t>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4/5/2017</w:t>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45.80</w:t>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687,000.00</w:t>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23/5/2017</w:t>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50.10</w:t>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t>751,500.00</w:t>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t>64,500.00</w:t>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t>9.39%</w:t>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t>61,191.45</w:t>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t>84,913.54</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cs="Calibri"/>
                <w:color w:val="000000"/>
                <w:sz w:val="20"/>
                <w:szCs w:val="20"/>
              </w:rPr>
            </w:pPr>
            <w:r>
              <w:rPr>
                <w:rFonts w:cs="Calibri" w:ascii="Avenir Next" w:hAnsi="Avenir Next"/>
                <w:color w:val="000000"/>
                <w:sz w:val="20"/>
                <w:szCs w:val="20"/>
              </w:rPr>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r>
      <w:tr>
        <w:trPr/>
        <w:tc>
          <w:tcPr>
            <w:tcW w:w="1901" w:type="dxa"/>
            <w:tcBorders>
              <w:top w:val="nil"/>
              <w:left w:val="nil"/>
              <w:bottom w:val="nil"/>
              <w:right w:val="nil"/>
              <w:insideH w:val="nil"/>
              <w:insideV w:val="nil"/>
            </w:tcBorders>
            <w:shd w:color="auto" w:fill="002041" w:val="clear"/>
            <w:vAlign w:val="bottom"/>
          </w:tcPr>
          <w:p>
            <w:pPr>
              <w:pStyle w:val="Normal"/>
              <w:rPr>
                <w:rFonts w:ascii="Avenir Next" w:hAnsi="Avenir Next" w:cs="Calibri"/>
                <w:color w:val="000000"/>
                <w:sz w:val="20"/>
                <w:szCs w:val="20"/>
              </w:rPr>
            </w:pPr>
            <w:r>
              <w:rPr>
                <w:rFonts w:ascii="Avenir Next" w:hAnsi="Avenir Next"/>
                <w:b/>
                <w:color w:val="FFD839"/>
                <w:sz w:val="20"/>
                <w:szCs w:val="20"/>
              </w:rPr>
              <w:t>OVERALL RESULTS</w:t>
            </w:r>
          </w:p>
        </w:tc>
        <w:tc>
          <w:tcPr>
            <w:tcW w:w="623"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40"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02"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74" w:type="dxa"/>
            <w:gridSpan w:val="2"/>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678"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695" w:type="dxa"/>
            <w:gridSpan w:val="2"/>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74"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10" w:type="dxa"/>
            <w:gridSpan w:val="2"/>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FFFFFF" w:themeColor="background1"/>
                <w:sz w:val="20"/>
                <w:szCs w:val="20"/>
              </w:rPr>
            </w:pPr>
            <w:r>
              <w:rPr>
                <w:rFonts w:cs="Calibri" w:ascii="Avenir Next" w:hAnsi="Avenir Next"/>
                <w:b/>
                <w:bCs/>
                <w:color w:val="FFFFFF" w:themeColor="background1"/>
                <w:sz w:val="20"/>
                <w:szCs w:val="22"/>
              </w:rPr>
              <w:t>170,175.00</w:t>
            </w:r>
          </w:p>
        </w:tc>
        <w:tc>
          <w:tcPr>
            <w:tcW w:w="579"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FFFFFF" w:themeColor="background1"/>
                <w:sz w:val="20"/>
                <w:szCs w:val="20"/>
              </w:rPr>
            </w:pPr>
            <w:r>
              <w:rPr>
                <w:rFonts w:cs="Calibri" w:ascii="Avenir Next" w:hAnsi="Avenir Next"/>
                <w:color w:val="FFFFFF" w:themeColor="background1"/>
                <w:sz w:val="20"/>
                <w:szCs w:val="20"/>
              </w:rPr>
            </w:r>
          </w:p>
        </w:tc>
        <w:tc>
          <w:tcPr>
            <w:tcW w:w="842" w:type="dxa"/>
            <w:gridSpan w:val="2"/>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color w:val="FFFFFF" w:themeColor="background1"/>
                <w:sz w:val="20"/>
                <w:szCs w:val="20"/>
              </w:rPr>
            </w:pPr>
            <w:r>
              <w:rPr>
                <w:rFonts w:cs="Calibri" w:ascii="Avenir Next" w:hAnsi="Avenir Next"/>
                <w:b/>
                <w:bCs/>
                <w:color w:val="FFFFFF" w:themeColor="background1"/>
                <w:sz w:val="20"/>
                <w:szCs w:val="22"/>
              </w:rPr>
              <w:t>152,576.51</w:t>
            </w:r>
          </w:p>
        </w:tc>
        <w:tc>
          <w:tcPr>
            <w:tcW w:w="841" w:type="dxa"/>
            <w:tcBorders>
              <w:top w:val="nil"/>
              <w:left w:val="nil"/>
              <w:bottom w:val="nil"/>
              <w:right w:val="nil"/>
              <w:insideH w:val="nil"/>
              <w:insideV w:val="nil"/>
            </w:tcBorders>
            <w:shd w:color="auto" w:fill="002041" w:val="clear"/>
            <w:vAlign w:val="bottom"/>
          </w:tcPr>
          <w:p>
            <w:pPr>
              <w:pStyle w:val="Normal"/>
              <w:jc w:val="center"/>
              <w:rPr>
                <w:rFonts w:ascii="Avenir Next" w:hAnsi="Avenir Next" w:cs="Calibri"/>
                <w:b/>
                <w:b/>
                <w:color w:val="FFFFFF" w:themeColor="background1"/>
                <w:sz w:val="20"/>
                <w:szCs w:val="20"/>
              </w:rPr>
            </w:pPr>
            <w:r>
              <w:rPr>
                <w:rFonts w:cs="Calibri" w:ascii="Avenir Next" w:hAnsi="Avenir Next"/>
                <w:b/>
                <w:bCs/>
                <w:color w:val="FFFFFF" w:themeColor="background1"/>
                <w:sz w:val="20"/>
                <w:szCs w:val="22"/>
              </w:rPr>
              <w:t>212,085.87</w:t>
            </w:r>
          </w:p>
        </w:tc>
      </w:tr>
      <w:tr>
        <w:trPr/>
        <w:tc>
          <w:tcPr>
            <w:tcW w:w="1901" w:type="dxa"/>
            <w:tcBorders>
              <w:top w:val="nil"/>
              <w:left w:val="nil"/>
              <w:bottom w:val="nil"/>
              <w:right w:val="nil"/>
              <w:insideH w:val="nil"/>
              <w:insideV w:val="nil"/>
            </w:tcBorders>
            <w:shd w:color="auto" w:fill="auto" w:val="clear"/>
            <w:vAlign w:val="bottom"/>
          </w:tcPr>
          <w:p>
            <w:pPr>
              <w:pStyle w:val="Normal"/>
              <w:rPr>
                <w:rFonts w:ascii="Avenir Next" w:hAnsi="Avenir Next" w:cs="Calibri"/>
                <w:color w:val="000000"/>
                <w:sz w:val="20"/>
                <w:szCs w:val="20"/>
              </w:rPr>
            </w:pPr>
            <w:r>
              <w:rPr>
                <w:rFonts w:cs="Calibri" w:ascii="Avenir Next" w:hAnsi="Avenir Next"/>
                <w:color w:val="000000"/>
                <w:sz w:val="20"/>
                <w:szCs w:val="20"/>
              </w:rPr>
            </w:r>
          </w:p>
        </w:tc>
        <w:tc>
          <w:tcPr>
            <w:tcW w:w="623"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40"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02"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74"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678"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695"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74"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0000"/>
                <w:sz w:val="20"/>
                <w:szCs w:val="20"/>
              </w:rPr>
            </w:pPr>
            <w:r>
              <w:rPr>
                <w:rFonts w:cs="Calibri" w:ascii="Avenir Next" w:hAnsi="Avenir Next"/>
                <w:color w:val="000000"/>
                <w:sz w:val="20"/>
                <w:szCs w:val="20"/>
              </w:rPr>
            </w:r>
          </w:p>
        </w:tc>
        <w:tc>
          <w:tcPr>
            <w:tcW w:w="710"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c>
          <w:tcPr>
            <w:tcW w:w="579"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c>
          <w:tcPr>
            <w:tcW w:w="842" w:type="dxa"/>
            <w:gridSpan w:val="2"/>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c>
          <w:tcPr>
            <w:tcW w:w="841" w:type="dxa"/>
            <w:tcBorders>
              <w:top w:val="nil"/>
              <w:left w:val="nil"/>
              <w:bottom w:val="nil"/>
              <w:right w:val="nil"/>
              <w:insideH w:val="nil"/>
              <w:insideV w:val="nil"/>
            </w:tcBorders>
            <w:shd w:color="auto" w:fill="auto" w:val="clear"/>
            <w:vAlign w:val="bottom"/>
          </w:tcPr>
          <w:p>
            <w:pPr>
              <w:pStyle w:val="Normal"/>
              <w:jc w:val="center"/>
              <w:rPr>
                <w:rFonts w:ascii="Avenir Next" w:hAnsi="Avenir Next" w:cs="Calibri"/>
                <w:color w:val="00B050"/>
                <w:sz w:val="20"/>
                <w:szCs w:val="20"/>
              </w:rPr>
            </w:pPr>
            <w:r>
              <w:rPr>
                <w:rFonts w:cs="Calibri" w:ascii="Avenir Next" w:hAnsi="Avenir Next"/>
                <w:color w:val="00B050"/>
                <w:sz w:val="20"/>
                <w:szCs w:val="20"/>
              </w:rPr>
            </w:r>
          </w:p>
        </w:tc>
      </w:tr>
      <w:tr>
        <w:trPr>
          <w:trHeight w:val="285" w:hRule="atLeas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cs="Calibri"/>
                <w:color w:val="000000"/>
                <w:sz w:val="20"/>
                <w:szCs w:val="22"/>
                <w:lang w:val="en-SG"/>
              </w:rPr>
            </w:pPr>
            <w:r>
              <w:rPr>
                <w:rFonts w:eastAsia="Times New Roman" w:cs="Calibri" w:ascii="Avenir Next" w:hAnsi="Avenir Next"/>
                <w:color w:val="000000"/>
                <w:sz w:val="20"/>
                <w:szCs w:val="22"/>
                <w:lang w:val="en-SG"/>
              </w:rPr>
              <w:t>Initial Capital @ 1/5/2017</w:t>
            </w:r>
          </w:p>
        </w:tc>
        <w:tc>
          <w:tcPr>
            <w:tcW w:w="1620" w:type="dxa"/>
            <w:gridSpan w:val="3"/>
            <w:tcBorders>
              <w:top w:val="nil"/>
              <w:left w:val="nil"/>
              <w:bottom w:val="nil"/>
              <w:right w:val="nil"/>
              <w:insideH w:val="nil"/>
              <w:insideV w:val="nil"/>
            </w:tcBorders>
            <w:shd w:fill="auto"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3,054,331.00</w:t>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USD</w:t>
            </w:r>
          </w:p>
        </w:tc>
        <w:tc>
          <w:tcPr>
            <w:tcW w:w="1439" w:type="dxa"/>
            <w:gridSpan w:val="3"/>
            <w:tcBorders>
              <w:top w:val="nil"/>
              <w:left w:val="nil"/>
              <w:bottom w:val="nil"/>
              <w:right w:val="nil"/>
              <w:insideH w:val="nil"/>
              <w:insideV w:val="nil"/>
            </w:tcBorders>
            <w:shd w:fill="auto"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4,266,167.37</w:t>
            </w:r>
          </w:p>
        </w:tc>
        <w:tc>
          <w:tcPr>
            <w:tcW w:w="1400" w:type="dxa"/>
            <w:gridSpan w:val="2"/>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SGD</w:t>
            </w:r>
          </w:p>
        </w:tc>
      </w:tr>
      <w:tr>
        <w:trPr>
          <w:trHeight w:val="285" w:hRule="atLeas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cs="Calibri"/>
                <w:color w:val="000000"/>
                <w:sz w:val="20"/>
                <w:szCs w:val="22"/>
                <w:lang w:val="en-SG"/>
              </w:rPr>
            </w:pPr>
            <w:r>
              <w:rPr>
                <w:rFonts w:eastAsia="Times New Roman" w:cs="Calibri" w:ascii="Avenir Next" w:hAnsi="Avenir Next"/>
                <w:color w:val="000000"/>
                <w:sz w:val="20"/>
                <w:szCs w:val="22"/>
                <w:lang w:val="en-SG"/>
              </w:rPr>
              <w:t>Margin Trading</w:t>
            </w:r>
          </w:p>
        </w:tc>
        <w:tc>
          <w:tcPr>
            <w:tcW w:w="1620" w:type="dxa"/>
            <w:gridSpan w:val="3"/>
            <w:tcBorders>
              <w:top w:val="nil"/>
              <w:left w:val="nil"/>
              <w:bottom w:val="nil"/>
              <w:right w:val="nil"/>
              <w:insideH w:val="nil"/>
              <w:insideV w:val="nil"/>
            </w:tcBorders>
            <w:shd w:fill="auto"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15,271,655.00</w:t>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USD</w:t>
            </w:r>
          </w:p>
        </w:tc>
        <w:tc>
          <w:tcPr>
            <w:tcW w:w="1439"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r>
          </w:p>
        </w:tc>
        <w:tc>
          <w:tcPr>
            <w:tcW w:w="1400" w:type="dxa"/>
            <w:gridSpan w:val="2"/>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r>
      <w:tr>
        <w:trPr>
          <w:trHeight w:val="23" w:hRule="exac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62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39"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00" w:type="dxa"/>
            <w:gridSpan w:val="2"/>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r>
      <w:tr>
        <w:trPr>
          <w:trHeight w:val="285" w:hRule="atLeas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cs="Calibri"/>
                <w:color w:val="000000"/>
                <w:sz w:val="20"/>
                <w:szCs w:val="22"/>
                <w:lang w:val="en-SG"/>
              </w:rPr>
            </w:pPr>
            <w:r>
              <w:rPr>
                <w:rFonts w:eastAsia="Times New Roman" w:cs="Calibri" w:ascii="Avenir Next" w:hAnsi="Avenir Next"/>
                <w:color w:val="000000"/>
                <w:sz w:val="20"/>
                <w:szCs w:val="22"/>
                <w:lang w:val="en-SG"/>
              </w:rPr>
              <w:t>Realised gain/(loss)</w:t>
            </w:r>
          </w:p>
        </w:tc>
        <w:tc>
          <w:tcPr>
            <w:tcW w:w="1620" w:type="dxa"/>
            <w:gridSpan w:val="3"/>
            <w:tcBorders>
              <w:top w:val="nil"/>
              <w:left w:val="nil"/>
              <w:bottom w:val="nil"/>
              <w:right w:val="nil"/>
              <w:insideH w:val="nil"/>
              <w:insideV w:val="nil"/>
            </w:tcBorders>
            <w:shd w:fill="auto"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152,576.51</w:t>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USD</w:t>
            </w:r>
          </w:p>
        </w:tc>
        <w:tc>
          <w:tcPr>
            <w:tcW w:w="1439" w:type="dxa"/>
            <w:gridSpan w:val="3"/>
            <w:tcBorders>
              <w:top w:val="nil"/>
              <w:left w:val="nil"/>
              <w:right w:val="nil"/>
              <w:insideV w:val="nil"/>
            </w:tcBorders>
            <w:shd w:fill="auto"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212,085.87</w:t>
            </w:r>
          </w:p>
        </w:tc>
        <w:tc>
          <w:tcPr>
            <w:tcW w:w="1400" w:type="dxa"/>
            <w:gridSpan w:val="2"/>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SGD</w:t>
            </w:r>
          </w:p>
        </w:tc>
      </w:tr>
      <w:tr>
        <w:trPr>
          <w:trHeight w:val="285" w:hRule="atLeas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r>
          </w:p>
        </w:tc>
        <w:tc>
          <w:tcPr>
            <w:tcW w:w="162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39" w:type="dxa"/>
            <w:gridSpan w:val="3"/>
            <w:tcBorders>
              <w:left w:val="nil"/>
              <w:bottom w:val="double" w:sz="4" w:space="0" w:color="00000A"/>
              <w:right w:val="nil"/>
              <w:insideH w:val="double" w:sz="4" w:space="0" w:color="00000A"/>
              <w:insideV w:val="nil"/>
            </w:tcBorders>
            <w:shd w:fill="auto" w:val="clear"/>
            <w:vAlign w:val="bottom"/>
          </w:tcPr>
          <w:p>
            <w:pPr>
              <w:pStyle w:val="Normal"/>
              <w:jc w:val="right"/>
              <w:rPr>
                <w:rFonts w:ascii="Avenir Next" w:hAnsi="Avenir Next" w:eastAsia="Times New Roman" w:cs="Calibri"/>
                <w:color w:val="00B050"/>
                <w:sz w:val="20"/>
                <w:szCs w:val="22"/>
                <w:lang w:val="en-SG"/>
              </w:rPr>
            </w:pPr>
            <w:r>
              <w:rPr>
                <w:rFonts w:eastAsia="Times New Roman" w:cs="Calibri" w:ascii="Avenir Next" w:hAnsi="Avenir Next"/>
                <w:color w:val="00B050"/>
                <w:sz w:val="20"/>
                <w:szCs w:val="22"/>
                <w:lang w:val="en-SG"/>
              </w:rPr>
              <w:t>4.97%</w:t>
            </w:r>
          </w:p>
        </w:tc>
        <w:tc>
          <w:tcPr>
            <w:tcW w:w="1400" w:type="dxa"/>
            <w:gridSpan w:val="2"/>
            <w:tcBorders>
              <w:top w:val="nil"/>
              <w:left w:val="nil"/>
              <w:bottom w:val="nil"/>
              <w:right w:val="nil"/>
              <w:insideH w:val="nil"/>
              <w:insideV w:val="nil"/>
            </w:tcBorders>
            <w:shd w:fill="auto" w:val="clear"/>
            <w:vAlign w:val="bottom"/>
          </w:tcPr>
          <w:p>
            <w:pPr>
              <w:pStyle w:val="Normal"/>
              <w:jc w:val="right"/>
              <w:rPr>
                <w:rFonts w:ascii="Avenir Next" w:hAnsi="Avenir Next" w:eastAsia="Times New Roman" w:cs="Calibri"/>
                <w:color w:val="00B050"/>
                <w:sz w:val="20"/>
                <w:szCs w:val="22"/>
                <w:lang w:val="en-SG"/>
              </w:rPr>
            </w:pPr>
            <w:r>
              <w:rPr>
                <w:rFonts w:eastAsia="Times New Roman" w:cs="Calibri" w:ascii="Avenir Next" w:hAnsi="Avenir Next"/>
                <w:color w:val="00B050"/>
                <w:sz w:val="20"/>
                <w:szCs w:val="22"/>
                <w:lang w:val="en-SG"/>
              </w:rPr>
            </w:r>
          </w:p>
        </w:tc>
      </w:tr>
      <w:tr>
        <w:trPr>
          <w:trHeight w:val="23" w:hRule="exac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62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39" w:type="dxa"/>
            <w:gridSpan w:val="3"/>
            <w:tcBorders>
              <w:top w:val="double" w:sz="4" w:space="0" w:color="00000A"/>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00" w:type="dxa"/>
            <w:gridSpan w:val="2"/>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r>
      <w:tr>
        <w:trPr>
          <w:trHeight w:val="285" w:hRule="atLeast"/>
        </w:trPr>
        <w:tc>
          <w:tcPr>
            <w:tcW w:w="4000" w:type="dxa"/>
            <w:gridSpan w:val="5"/>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s="Calibri"/>
                <w:color w:val="000000"/>
                <w:sz w:val="20"/>
                <w:szCs w:val="22"/>
                <w:lang w:val="en-SG"/>
              </w:rPr>
            </w:pPr>
            <w:r>
              <w:rPr>
                <w:rFonts w:eastAsia="Times New Roman" w:cs="Calibri" w:ascii="Avenir Next" w:hAnsi="Avenir Next"/>
                <w:color w:val="000000"/>
                <w:sz w:val="20"/>
                <w:szCs w:val="22"/>
                <w:lang w:val="en-SG"/>
              </w:rPr>
              <w:t>Unrealised gain/(loss)</w:t>
            </w:r>
          </w:p>
        </w:tc>
        <w:tc>
          <w:tcPr>
            <w:tcW w:w="1620" w:type="dxa"/>
            <w:gridSpan w:val="3"/>
            <w:tcBorders>
              <w:top w:val="nil"/>
              <w:left w:val="nil"/>
              <w:bottom w:val="nil"/>
              <w:right w:val="nil"/>
              <w:insideH w:val="nil"/>
              <w:insideV w:val="nil"/>
            </w:tcBorders>
            <w:shd w:color="auto" w:fill="FFF2CC" w:themeFill="accent4" w:themeFillTint="33"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42,638.36</w:t>
            </w:r>
          </w:p>
        </w:tc>
        <w:tc>
          <w:tcPr>
            <w:tcW w:w="1400" w:type="dxa"/>
            <w:gridSpan w:val="3"/>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USD</w:t>
            </w:r>
          </w:p>
        </w:tc>
        <w:tc>
          <w:tcPr>
            <w:tcW w:w="1439" w:type="dxa"/>
            <w:gridSpan w:val="3"/>
            <w:tcBorders>
              <w:top w:val="nil"/>
              <w:left w:val="nil"/>
              <w:bottom w:val="nil"/>
              <w:right w:val="nil"/>
              <w:insideH w:val="nil"/>
              <w:insideV w:val="nil"/>
            </w:tcBorders>
            <w:shd w:color="auto" w:fill="FFF2CC" w:themeFill="accent4" w:themeFillTint="33" w:val="clear"/>
            <w:vAlign w:val="bottom"/>
          </w:tcPr>
          <w:p>
            <w:pPr>
              <w:pStyle w:val="Normal"/>
              <w:jc w:val="right"/>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59,280.11</w:t>
            </w:r>
          </w:p>
        </w:tc>
        <w:tc>
          <w:tcPr>
            <w:tcW w:w="1400" w:type="dxa"/>
            <w:gridSpan w:val="2"/>
            <w:tcBorders>
              <w:top w:val="nil"/>
              <w:left w:val="nil"/>
              <w:bottom w:val="nil"/>
              <w:right w:val="nil"/>
              <w:insideH w:val="nil"/>
              <w:insideV w:val="nil"/>
            </w:tcBorders>
            <w:shd w:color="auto" w:fill="FFF2CC" w:themeFill="accent4" w:themeFillTint="33"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t>SGD</w:t>
            </w:r>
          </w:p>
        </w:tc>
      </w:tr>
      <w:tr>
        <w:trPr>
          <w:trHeight w:val="285" w:hRule="atLeast"/>
        </w:trPr>
        <w:tc>
          <w:tcPr>
            <w:tcW w:w="4000" w:type="dxa"/>
            <w:gridSpan w:val="5"/>
            <w:tcBorders>
              <w:top w:val="nil"/>
              <w:left w:val="nil"/>
              <w:bottom w:val="nil"/>
              <w:right w:val="nil"/>
              <w:insideH w:val="nil"/>
              <w:insideV w:val="nil"/>
            </w:tcBorders>
            <w:shd w:fill="auto" w:val="clear"/>
            <w:vAlign w:val="bottom"/>
          </w:tcPr>
          <w:p>
            <w:pPr>
              <w:pStyle w:val="Normal"/>
              <w:rPr>
                <w:rFonts w:ascii="Avenir Next" w:hAnsi="Avenir Next" w:eastAsia="Times New Roman" w:cs="Calibri"/>
                <w:b/>
                <w:b/>
                <w:bCs/>
                <w:color w:val="000000"/>
                <w:sz w:val="20"/>
                <w:szCs w:val="22"/>
                <w:lang w:val="en-SG"/>
              </w:rPr>
            </w:pPr>
            <w:r>
              <w:rPr>
                <w:rFonts w:eastAsia="Times New Roman" w:cs="Calibri" w:ascii="Avenir Next" w:hAnsi="Avenir Next"/>
                <w:b/>
                <w:bCs/>
                <w:color w:val="000000"/>
                <w:sz w:val="20"/>
                <w:szCs w:val="22"/>
                <w:lang w:val="en-SG"/>
              </w:rPr>
            </w:r>
          </w:p>
        </w:tc>
        <w:tc>
          <w:tcPr>
            <w:tcW w:w="162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00" w:type="dxa"/>
            <w:gridSpan w:val="3"/>
            <w:tcBorders>
              <w:top w:val="nil"/>
              <w:left w:val="nil"/>
              <w:bottom w:val="nil"/>
              <w:right w:val="nil"/>
              <w:insideH w:val="nil"/>
              <w:insideV w:val="nil"/>
            </w:tcBorders>
            <w:shd w:fill="auto" w:val="clear"/>
            <w:vAlign w:val="bottom"/>
          </w:tcPr>
          <w:p>
            <w:pPr>
              <w:pStyle w:val="Normal"/>
              <w:rPr>
                <w:rFonts w:ascii="Avenir Next" w:hAnsi="Avenir Next" w:eastAsia="Times New Roman"/>
                <w:sz w:val="20"/>
                <w:szCs w:val="20"/>
                <w:lang w:val="en-SG"/>
              </w:rPr>
            </w:pPr>
            <w:r>
              <w:rPr>
                <w:rFonts w:eastAsia="Times New Roman" w:ascii="Avenir Next" w:hAnsi="Avenir Next"/>
                <w:sz w:val="20"/>
                <w:szCs w:val="20"/>
                <w:lang w:val="en-SG"/>
              </w:rPr>
            </w:r>
          </w:p>
        </w:tc>
        <w:tc>
          <w:tcPr>
            <w:tcW w:w="1439" w:type="dxa"/>
            <w:gridSpan w:val="3"/>
            <w:tcBorders>
              <w:top w:val="nil"/>
              <w:left w:val="nil"/>
              <w:bottom w:val="nil"/>
              <w:right w:val="nil"/>
              <w:insideH w:val="nil"/>
              <w:insideV w:val="nil"/>
            </w:tcBorders>
            <w:shd w:color="auto" w:fill="FFF2CC" w:themeFill="accent4" w:themeFillTint="33" w:val="clear"/>
            <w:vAlign w:val="bottom"/>
          </w:tcPr>
          <w:p>
            <w:pPr>
              <w:pStyle w:val="Normal"/>
              <w:jc w:val="right"/>
              <w:rPr>
                <w:rFonts w:ascii="Avenir Next" w:hAnsi="Avenir Next" w:eastAsia="Times New Roman" w:cs="Calibri"/>
                <w:color w:val="00B050"/>
                <w:sz w:val="20"/>
                <w:szCs w:val="22"/>
                <w:lang w:val="en-SG"/>
              </w:rPr>
            </w:pPr>
            <w:r>
              <w:rPr>
                <w:rFonts w:eastAsia="Times New Roman" w:cs="Calibri" w:ascii="Avenir Next" w:hAnsi="Avenir Next"/>
                <w:color w:val="00B050"/>
                <w:sz w:val="20"/>
                <w:szCs w:val="22"/>
                <w:lang w:val="en-SG"/>
              </w:rPr>
              <w:t>1.39%</w:t>
            </w:r>
          </w:p>
        </w:tc>
        <w:tc>
          <w:tcPr>
            <w:tcW w:w="1400" w:type="dxa"/>
            <w:gridSpan w:val="2"/>
            <w:tcBorders>
              <w:top w:val="nil"/>
              <w:left w:val="nil"/>
              <w:bottom w:val="nil"/>
              <w:right w:val="nil"/>
              <w:insideH w:val="nil"/>
              <w:insideV w:val="nil"/>
            </w:tcBorders>
            <w:shd w:fill="auto" w:val="clear"/>
            <w:vAlign w:val="bottom"/>
          </w:tcPr>
          <w:p>
            <w:pPr>
              <w:pStyle w:val="Normal"/>
              <w:jc w:val="right"/>
              <w:rPr>
                <w:rFonts w:ascii="Avenir Next" w:hAnsi="Avenir Next" w:eastAsia="Times New Roman" w:cs="Calibri"/>
                <w:color w:val="00B050"/>
                <w:sz w:val="20"/>
                <w:szCs w:val="22"/>
                <w:lang w:val="en-SG"/>
              </w:rPr>
            </w:pPr>
            <w:r>
              <w:rPr>
                <w:rFonts w:eastAsia="Times New Roman" w:cs="Calibri" w:ascii="Avenir Next" w:hAnsi="Avenir Next"/>
                <w:color w:val="00B050"/>
                <w:sz w:val="20"/>
                <w:szCs w:val="22"/>
                <w:lang w:val="en-SG"/>
              </w:rPr>
            </w:r>
          </w:p>
        </w:tc>
      </w:tr>
    </w:tbl>
    <w:p>
      <w:pPr>
        <w:pStyle w:val="Normal"/>
        <w:ind w:left="-426" w:hanging="0"/>
        <w:rPr>
          <w:rFonts w:ascii="Avenir Next" w:hAnsi="Avenir Next"/>
          <w:b/>
          <w:b/>
        </w:rPr>
      </w:pPr>
      <w:r>
        <w:rPr>
          <w:rFonts w:ascii="Avenir Next" w:hAnsi="Avenir Next"/>
          <w:b/>
        </w:rPr>
      </w:r>
      <w:r>
        <w:br w:type="page"/>
      </w:r>
    </w:p>
    <w:p>
      <w:pPr>
        <w:pStyle w:val="Normal"/>
        <w:ind w:left="-426" w:hanging="0"/>
        <w:rPr>
          <w:rFonts w:ascii="Avenir Next Regular" w:hAnsi="Avenir Next Regular"/>
          <w:b/>
          <w:b/>
          <w:color w:val="002041"/>
          <w:sz w:val="20"/>
          <w:szCs w:val="20"/>
        </w:rPr>
      </w:pPr>
      <w:r>
        <w:rPr>
          <w:rFonts w:ascii="Avenir Next" w:hAnsi="Avenir Next"/>
          <w:b/>
        </w:rPr>
        <w:t>Appendix III – Stocks</w:t>
      </w:r>
    </w:p>
    <w:p>
      <w:pPr>
        <w:pStyle w:val="Normal"/>
        <w:ind w:left="-284" w:hanging="0"/>
        <w:rPr>
          <w:rFonts w:ascii="Avenir Next" w:hAnsi="Avenir Next"/>
          <w:b/>
          <w:b/>
          <w:sz w:val="32"/>
        </w:rPr>
      </w:pPr>
      <w:r>
        <w:rPr>
          <w:rFonts w:ascii="Avenir Next" w:hAnsi="Avenir Next"/>
          <w:b/>
          <w:sz w:val="32"/>
        </w:rPr>
      </w:r>
    </w:p>
    <w:tbl>
      <w:tblPr>
        <w:tblW w:w="14483" w:type="dxa"/>
        <w:jc w:val="left"/>
        <w:tblInd w:w="-284" w:type="dxa"/>
        <w:tblBorders/>
        <w:tblCellMar>
          <w:top w:w="0" w:type="dxa"/>
          <w:left w:w="108" w:type="dxa"/>
          <w:bottom w:w="0" w:type="dxa"/>
          <w:right w:w="108" w:type="dxa"/>
        </w:tblCellMar>
        <w:tblLook w:firstRow="1" w:noVBand="1" w:lastRow="0" w:firstColumn="1" w:lastColumn="0" w:noHBand="0" w:val="04a0"/>
      </w:tblPr>
      <w:tblGrid>
        <w:gridCol w:w="3535"/>
        <w:gridCol w:w="3033"/>
        <w:gridCol w:w="2788"/>
        <w:gridCol w:w="2586"/>
        <w:gridCol w:w="2541"/>
      </w:tblGrid>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D839"/>
                <w:sz w:val="20"/>
                <w:szCs w:val="20"/>
              </w:rPr>
              <w:t>Company</w:t>
            </w:r>
          </w:p>
        </w:tc>
        <w:tc>
          <w:tcPr>
            <w:tcW w:w="3033" w:type="dxa"/>
            <w:tcBorders/>
            <w:shd w:color="auto" w:fill="E87349" w:val="clear"/>
            <w:vAlign w:val="bottom"/>
          </w:tcPr>
          <w:p>
            <w:pPr>
              <w:pStyle w:val="Normal"/>
              <w:jc w:val="center"/>
              <w:rPr>
                <w:rFonts w:ascii="Avenir Next" w:hAnsi="Avenir Next"/>
                <w:b/>
                <w:b/>
                <w:color w:val="FFFFFF" w:themeColor="background1"/>
                <w:sz w:val="20"/>
                <w:szCs w:val="20"/>
              </w:rPr>
            </w:pPr>
            <w:r>
              <w:rPr>
                <w:rFonts w:ascii="Avenir Next" w:hAnsi="Avenir Next"/>
                <w:b/>
                <w:color w:val="FFFFFF" w:themeColor="background1"/>
                <w:sz w:val="20"/>
                <w:szCs w:val="20"/>
              </w:rPr>
              <w:t>-</w:t>
            </w:r>
          </w:p>
        </w:tc>
        <w:tc>
          <w:tcPr>
            <w:tcW w:w="2788" w:type="dxa"/>
            <w:tcBorders/>
            <w:shd w:color="auto" w:fill="E87349" w:val="clear"/>
            <w:vAlign w:val="bottom"/>
          </w:tcPr>
          <w:p>
            <w:pPr>
              <w:pStyle w:val="Normal"/>
              <w:jc w:val="center"/>
              <w:rPr>
                <w:rFonts w:ascii="Avenir Next" w:hAnsi="Avenir Next"/>
                <w:b/>
                <w:b/>
                <w:color w:val="FFFFFF" w:themeColor="background1"/>
                <w:sz w:val="20"/>
                <w:szCs w:val="20"/>
              </w:rPr>
            </w:pPr>
            <w:r>
              <w:rPr>
                <w:rFonts w:ascii="Avenir Next" w:hAnsi="Avenir Next"/>
                <w:b/>
                <w:color w:val="FFFFFF" w:themeColor="background1"/>
                <w:sz w:val="20"/>
                <w:szCs w:val="20"/>
              </w:rPr>
            </w:r>
          </w:p>
        </w:tc>
        <w:tc>
          <w:tcPr>
            <w:tcW w:w="2586" w:type="dxa"/>
            <w:tcBorders/>
            <w:shd w:color="auto" w:fill="E87349" w:val="clear"/>
            <w:vAlign w:val="bottom"/>
          </w:tcPr>
          <w:p>
            <w:pPr>
              <w:pStyle w:val="Normal"/>
              <w:jc w:val="center"/>
              <w:rPr>
                <w:rFonts w:ascii="Avenir Next" w:hAnsi="Avenir Next"/>
                <w:b/>
                <w:b/>
                <w:color w:val="FFFFFF" w:themeColor="background1"/>
                <w:sz w:val="20"/>
                <w:szCs w:val="20"/>
              </w:rPr>
            </w:pPr>
            <w:r>
              <w:rPr>
                <w:rFonts w:ascii="Avenir Next" w:hAnsi="Avenir Next"/>
                <w:b/>
                <w:color w:val="FFFFFF" w:themeColor="background1"/>
                <w:sz w:val="20"/>
                <w:szCs w:val="20"/>
              </w:rPr>
            </w:r>
          </w:p>
        </w:tc>
        <w:tc>
          <w:tcPr>
            <w:tcW w:w="2541" w:type="dxa"/>
            <w:tcBorders/>
            <w:shd w:color="auto" w:fill="E87349" w:val="clear"/>
            <w:vAlign w:val="bottom"/>
          </w:tcPr>
          <w:p>
            <w:pPr>
              <w:pStyle w:val="Normal"/>
              <w:jc w:val="center"/>
              <w:rPr>
                <w:rFonts w:ascii="Avenir Next" w:hAnsi="Avenir Next"/>
                <w:b/>
                <w:b/>
                <w:color w:val="FFFFFF" w:themeColor="background1"/>
                <w:sz w:val="20"/>
                <w:szCs w:val="20"/>
              </w:rPr>
            </w:pPr>
            <w:r>
              <w:rPr>
                <w:rFonts w:ascii="Avenir Next" w:hAnsi="Avenir Next"/>
                <w:b/>
                <w:color w:val="FFFFFF" w:themeColor="background1"/>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Ticker</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Exchange</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Currency</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rHeight w:val="91" w:hRule="atLeast"/>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r>
          </w:p>
        </w:tc>
        <w:tc>
          <w:tcPr>
            <w:tcW w:w="3033" w:type="dxa"/>
            <w:tcBorders/>
            <w:shd w:color="auto" w:fill="FBE4D5" w:themeFill="accent2" w:themeFillTint="33" w:val="clear"/>
            <w:vAlign w:val="bottom"/>
          </w:tcPr>
          <w:p>
            <w:pPr>
              <w:pStyle w:val="Normal"/>
              <w:rPr>
                <w:rFonts w:ascii="Avenir Next" w:hAnsi="Avenir Next"/>
                <w:sz w:val="20"/>
                <w:szCs w:val="20"/>
              </w:rPr>
            </w:pPr>
            <w:r>
              <w:rPr>
                <w:rFonts w:ascii="Avenir Next" w:hAnsi="Avenir Next"/>
                <w:sz w:val="20"/>
                <w:szCs w:val="20"/>
              </w:rPr>
            </w:r>
          </w:p>
        </w:tc>
        <w:tc>
          <w:tcPr>
            <w:tcW w:w="2788" w:type="dxa"/>
            <w:tcBorders/>
            <w:shd w:color="auto" w:fill="FBE4D5" w:themeFill="accent2" w:themeFillTint="33" w:val="clear"/>
            <w:vAlign w:val="bottom"/>
          </w:tcPr>
          <w:p>
            <w:pPr>
              <w:pStyle w:val="Normal"/>
              <w:rPr>
                <w:rFonts w:ascii="Avenir Next" w:hAnsi="Avenir Next"/>
                <w:b/>
                <w:b/>
                <w:sz w:val="20"/>
                <w:szCs w:val="20"/>
              </w:rPr>
            </w:pPr>
            <w:r>
              <w:rPr>
                <w:rFonts w:ascii="Avenir Next" w:hAnsi="Avenir Next"/>
                <w:b/>
                <w:sz w:val="20"/>
                <w:szCs w:val="20"/>
              </w:rPr>
            </w:r>
          </w:p>
        </w:tc>
        <w:tc>
          <w:tcPr>
            <w:tcW w:w="2586" w:type="dxa"/>
            <w:tcBorders/>
            <w:shd w:color="auto" w:fill="FBE4D5" w:themeFill="accent2" w:themeFillTint="33" w:val="clear"/>
            <w:vAlign w:val="bottom"/>
          </w:tcPr>
          <w:p>
            <w:pPr>
              <w:pStyle w:val="Normal"/>
              <w:rPr>
                <w:rFonts w:ascii="Avenir Next" w:hAnsi="Avenir Next"/>
                <w:b/>
                <w:b/>
                <w:sz w:val="20"/>
                <w:szCs w:val="20"/>
              </w:rPr>
            </w:pPr>
            <w:r>
              <w:rPr>
                <w:rFonts w:ascii="Avenir Next" w:hAnsi="Avenir Next"/>
                <w:b/>
                <w:sz w:val="20"/>
                <w:szCs w:val="20"/>
              </w:rPr>
            </w:r>
          </w:p>
        </w:tc>
        <w:tc>
          <w:tcPr>
            <w:tcW w:w="2541" w:type="dxa"/>
            <w:tcBorders/>
            <w:shd w:color="auto" w:fill="FBE4D5" w:themeFill="accent2" w:themeFillTint="33" w:val="clear"/>
            <w:vAlign w:val="bottom"/>
          </w:tcPr>
          <w:p>
            <w:pPr>
              <w:pStyle w:val="Normal"/>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t>Unit Price @ 30/4/2017</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t>Units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t>Initial Existing Shareholdings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Purchase Date</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Unit Purchase Price</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Units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Total Purchase Price</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rHeight w:val="91" w:hRule="atLeast"/>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r>
          </w:p>
        </w:tc>
        <w:tc>
          <w:tcPr>
            <w:tcW w:w="3033"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788"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Sale Date</w:t>
            </w:r>
          </w:p>
        </w:tc>
        <w:tc>
          <w:tcPr>
            <w:tcW w:w="3033" w:type="dxa"/>
            <w:tcBorders/>
            <w:shd w:color="auto" w:fill="auto" w:val="clear"/>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Unit Price on Date of Sale</w:t>
            </w:r>
          </w:p>
        </w:tc>
        <w:tc>
          <w:tcPr>
            <w:tcW w:w="3033" w:type="dxa"/>
            <w:tcBorders/>
            <w:shd w:color="auto" w:fill="auto" w:val="clear"/>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r>
      <w:tr>
        <w:trPr>
          <w:trHeight w:val="88" w:hRule="atLeast"/>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Units sold</w:t>
            </w:r>
          </w:p>
        </w:tc>
        <w:tc>
          <w:tcPr>
            <w:tcW w:w="3033" w:type="dxa"/>
            <w:tcBorders/>
            <w:shd w:color="auto" w:fill="auto" w:val="clear"/>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vAlign w:val="bottom"/>
          </w:tcPr>
          <w:p>
            <w:pPr>
              <w:pStyle w:val="Normal"/>
              <w:rPr>
                <w:rFonts w:ascii="Avenir Next" w:hAnsi="Avenir Next"/>
                <w:b/>
                <w:b/>
                <w:color w:val="FFFFFF"/>
                <w:sz w:val="20"/>
                <w:szCs w:val="20"/>
              </w:rPr>
            </w:pPr>
            <w:r>
              <w:rPr>
                <w:rFonts w:eastAsia="Times New Roman" w:ascii="Avenir Next" w:hAnsi="Avenir Next"/>
                <w:b/>
                <w:bCs/>
                <w:color w:val="FFFFFF"/>
                <w:sz w:val="20"/>
                <w:szCs w:val="20"/>
              </w:rPr>
              <w:t>Shareholdings Sold</w:t>
            </w:r>
          </w:p>
        </w:tc>
        <w:tc>
          <w:tcPr>
            <w:tcW w:w="3033" w:type="dxa"/>
            <w:tcBorders/>
            <w:shd w:color="auto" w:fill="auto" w:val="clear"/>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tcPr>
          <w:p>
            <w:pPr>
              <w:pStyle w:val="Normal"/>
              <w:jc w:val="center"/>
              <w:rPr>
                <w:rFonts w:ascii="Avenir Next" w:hAnsi="Avenir Next"/>
                <w:b/>
                <w:b/>
                <w:sz w:val="20"/>
                <w:szCs w:val="20"/>
              </w:rPr>
            </w:pPr>
            <w:r>
              <w:rPr>
                <w:rFonts w:ascii="Avenir Next" w:hAnsi="Avenir Next"/>
                <w:b/>
                <w:sz w:val="20"/>
                <w:szCs w:val="20"/>
              </w:rPr>
            </w:r>
          </w:p>
        </w:tc>
      </w:tr>
      <w:tr>
        <w:trPr>
          <w:trHeight w:val="91" w:hRule="atLeast"/>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r>
          </w:p>
        </w:tc>
        <w:tc>
          <w:tcPr>
            <w:tcW w:w="3033"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788"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t>Unit Price @ 31/5/17</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t>Units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t>Current Existing Shareholdings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r>
          </w:p>
        </w:tc>
        <w:tc>
          <w:tcPr>
            <w:tcW w:w="3033" w:type="dxa"/>
            <w:tcBorders/>
            <w:shd w:color="auto" w:fill="FBE4D5" w:themeFill="accent2" w:themeFillTint="33" w:val="clear"/>
          </w:tcPr>
          <w:p>
            <w:pPr>
              <w:pStyle w:val="Normal"/>
              <w:jc w:val="center"/>
              <w:rPr>
                <w:rFonts w:ascii="Avenir Next" w:hAnsi="Avenir Next"/>
                <w:sz w:val="20"/>
                <w:szCs w:val="20"/>
              </w:rPr>
            </w:pPr>
            <w:r>
              <w:rPr>
                <w:rFonts w:ascii="Avenir Next" w:hAnsi="Avenir Next"/>
                <w:sz w:val="20"/>
                <w:szCs w:val="20"/>
              </w:rPr>
            </w:r>
          </w:p>
        </w:tc>
        <w:tc>
          <w:tcPr>
            <w:tcW w:w="2788"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D839"/>
                <w:sz w:val="20"/>
                <w:szCs w:val="20"/>
              </w:rPr>
              <w:t>Unrealised Gain/Loss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FFFF"/>
                <w:sz w:val="20"/>
                <w:szCs w:val="20"/>
              </w:rPr>
            </w:r>
          </w:p>
        </w:tc>
        <w:tc>
          <w:tcPr>
            <w:tcW w:w="3033" w:type="dxa"/>
            <w:tcBorders/>
            <w:shd w:color="auto" w:fill="FBE4D5" w:themeFill="accent2" w:themeFillTint="33" w:val="clear"/>
          </w:tcPr>
          <w:p>
            <w:pPr>
              <w:pStyle w:val="Normal"/>
              <w:jc w:val="center"/>
              <w:rPr>
                <w:rFonts w:ascii="Avenir Next" w:hAnsi="Avenir Next"/>
                <w:sz w:val="20"/>
                <w:szCs w:val="20"/>
              </w:rPr>
            </w:pPr>
            <w:r>
              <w:rPr>
                <w:rFonts w:ascii="Avenir Next" w:hAnsi="Avenir Next"/>
                <w:sz w:val="20"/>
                <w:szCs w:val="20"/>
              </w:rPr>
            </w:r>
          </w:p>
        </w:tc>
        <w:tc>
          <w:tcPr>
            <w:tcW w:w="2788"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FBE4D5" w:themeFill="accent2" w:themeFillTint="33" w:val="clear"/>
          </w:tcPr>
          <w:p>
            <w:pPr>
              <w:pStyle w:val="Normal"/>
              <w:jc w:val="center"/>
              <w:rPr>
                <w:rFonts w:ascii="Avenir Next" w:hAnsi="Avenir Next"/>
                <w:b/>
                <w:b/>
                <w:sz w:val="20"/>
                <w:szCs w:val="20"/>
              </w:rPr>
            </w:pPr>
            <w:r>
              <w:rPr>
                <w:rFonts w:ascii="Avenir Next" w:hAnsi="Avenir Next"/>
                <w:b/>
                <w:sz w:val="20"/>
                <w:szCs w:val="20"/>
              </w:rPr>
            </w:r>
          </w:p>
        </w:tc>
      </w:tr>
      <w:tr>
        <w:trPr/>
        <w:tc>
          <w:tcPr>
            <w:tcW w:w="3535" w:type="dxa"/>
            <w:tcBorders/>
            <w:shd w:color="auto" w:fill="002041" w:val="clear"/>
          </w:tcPr>
          <w:p>
            <w:pPr>
              <w:pStyle w:val="Normal"/>
              <w:rPr>
                <w:rFonts w:ascii="Avenir Next" w:hAnsi="Avenir Next"/>
                <w:b/>
                <w:b/>
                <w:color w:val="FFFFFF"/>
                <w:sz w:val="20"/>
                <w:szCs w:val="20"/>
              </w:rPr>
            </w:pPr>
            <w:r>
              <w:rPr>
                <w:rFonts w:ascii="Avenir Next" w:hAnsi="Avenir Next"/>
                <w:b/>
                <w:color w:val="FFD839"/>
                <w:sz w:val="20"/>
                <w:szCs w:val="20"/>
              </w:rPr>
              <w:t>Realised Gain/Loss</w:t>
            </w:r>
          </w:p>
        </w:tc>
        <w:tc>
          <w:tcPr>
            <w:tcW w:w="3033" w:type="dxa"/>
            <w:tcBorders/>
            <w:shd w:color="auto" w:fill="auto" w:val="clear"/>
            <w:vAlign w:val="bottom"/>
          </w:tcPr>
          <w:p>
            <w:pPr>
              <w:pStyle w:val="Normal"/>
              <w:jc w:val="center"/>
              <w:rPr>
                <w:rFonts w:ascii="Avenir Next" w:hAnsi="Avenir Next"/>
                <w:sz w:val="20"/>
                <w:szCs w:val="20"/>
              </w:rPr>
            </w:pPr>
            <w:r>
              <w:rPr>
                <w:rFonts w:ascii="Avenir Next" w:hAnsi="Avenir Next"/>
                <w:sz w:val="20"/>
                <w:szCs w:val="20"/>
              </w:rPr>
              <w:t>-</w:t>
            </w:r>
          </w:p>
        </w:tc>
        <w:tc>
          <w:tcPr>
            <w:tcW w:w="2788"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86"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c>
          <w:tcPr>
            <w:tcW w:w="2541" w:type="dxa"/>
            <w:tcBorders/>
            <w:shd w:color="auto" w:fill="auto" w:val="clear"/>
            <w:vAlign w:val="bottom"/>
          </w:tcPr>
          <w:p>
            <w:pPr>
              <w:pStyle w:val="Normal"/>
              <w:jc w:val="center"/>
              <w:rPr>
                <w:rFonts w:ascii="Avenir Next" w:hAnsi="Avenir Next"/>
                <w:b/>
                <w:b/>
                <w:sz w:val="20"/>
                <w:szCs w:val="20"/>
              </w:rPr>
            </w:pPr>
            <w:r>
              <w:rPr>
                <w:rFonts w:ascii="Avenir Next" w:hAnsi="Avenir Next"/>
                <w:b/>
                <w:sz w:val="20"/>
                <w:szCs w:val="20"/>
              </w:rPr>
            </w:r>
          </w:p>
        </w:tc>
      </w:tr>
      <w:tr>
        <w:trPr>
          <w:trHeight w:val="209" w:hRule="atLeast"/>
        </w:trPr>
        <w:tc>
          <w:tcPr>
            <w:tcW w:w="3535" w:type="dxa"/>
            <w:tcBorders/>
            <w:shd w:color="auto" w:fill="002041" w:val="clear"/>
          </w:tcPr>
          <w:p>
            <w:pPr>
              <w:pStyle w:val="Normal"/>
              <w:rPr>
                <w:rFonts w:ascii="Avenir Next" w:hAnsi="Avenir Next"/>
                <w:b/>
                <w:b/>
                <w:color w:val="FFFFFF"/>
                <w:sz w:val="20"/>
                <w:szCs w:val="20"/>
                <w:shd w:fill="E87349" w:val="clear"/>
              </w:rPr>
            </w:pPr>
            <w:r>
              <w:rPr>
                <w:rFonts w:ascii="Avenir Next" w:hAnsi="Avenir Next"/>
                <w:b/>
                <w:color w:val="FFFFFF"/>
                <w:sz w:val="20"/>
                <w:szCs w:val="20"/>
                <w:shd w:fill="E87349" w:val="clear"/>
              </w:rPr>
            </w:r>
          </w:p>
        </w:tc>
        <w:tc>
          <w:tcPr>
            <w:tcW w:w="3033" w:type="dxa"/>
            <w:tcBorders/>
            <w:shd w:color="auto" w:fill="FBE4D5" w:themeFill="accent2" w:themeFillTint="33" w:val="clear"/>
          </w:tcPr>
          <w:p>
            <w:pPr>
              <w:pStyle w:val="Normal"/>
              <w:jc w:val="center"/>
              <w:rPr>
                <w:rFonts w:ascii="Avenir Next" w:hAnsi="Avenir Next" w:eastAsia="Times New Roman"/>
                <w:color w:val="000000"/>
                <w:sz w:val="20"/>
                <w:szCs w:val="20"/>
                <w:shd w:fill="E87349" w:val="clear"/>
              </w:rPr>
            </w:pPr>
            <w:r>
              <w:rPr>
                <w:rFonts w:eastAsia="Times New Roman" w:ascii="Avenir Next" w:hAnsi="Avenir Next"/>
                <w:color w:val="000000"/>
                <w:sz w:val="20"/>
                <w:szCs w:val="20"/>
                <w:shd w:fill="E87349" w:val="clear"/>
              </w:rPr>
            </w:r>
          </w:p>
        </w:tc>
        <w:tc>
          <w:tcPr>
            <w:tcW w:w="2788" w:type="dxa"/>
            <w:tcBorders/>
            <w:shd w:color="auto" w:fill="FBE4D5" w:themeFill="accent2" w:themeFillTint="33" w:val="clear"/>
          </w:tcPr>
          <w:p>
            <w:pPr>
              <w:pStyle w:val="Normal"/>
              <w:jc w:val="center"/>
              <w:rPr>
                <w:rFonts w:ascii="Avenir Next" w:hAnsi="Avenir Next" w:eastAsia="Times New Roman"/>
                <w:color w:val="000000"/>
                <w:sz w:val="20"/>
                <w:szCs w:val="20"/>
                <w:shd w:fill="E87349" w:val="clear"/>
              </w:rPr>
            </w:pPr>
            <w:r>
              <w:rPr>
                <w:rFonts w:eastAsia="Times New Roman" w:ascii="Avenir Next" w:hAnsi="Avenir Next"/>
                <w:color w:val="000000"/>
                <w:sz w:val="20"/>
                <w:szCs w:val="20"/>
                <w:shd w:fill="E87349" w:val="clear"/>
              </w:rPr>
            </w:r>
          </w:p>
        </w:tc>
        <w:tc>
          <w:tcPr>
            <w:tcW w:w="2586" w:type="dxa"/>
            <w:tcBorders/>
            <w:shd w:color="auto" w:fill="FBE4D5" w:themeFill="accent2" w:themeFillTint="33" w:val="clear"/>
          </w:tcPr>
          <w:p>
            <w:pPr>
              <w:pStyle w:val="Normal"/>
              <w:jc w:val="center"/>
              <w:rPr>
                <w:rFonts w:ascii="Avenir Next" w:hAnsi="Avenir Next" w:eastAsia="Times New Roman"/>
                <w:color w:val="000000"/>
                <w:sz w:val="20"/>
                <w:szCs w:val="20"/>
                <w:shd w:fill="E87349" w:val="clear"/>
              </w:rPr>
            </w:pPr>
            <w:r>
              <w:rPr>
                <w:rFonts w:eastAsia="Times New Roman" w:ascii="Avenir Next" w:hAnsi="Avenir Next"/>
                <w:color w:val="000000"/>
                <w:sz w:val="20"/>
                <w:szCs w:val="20"/>
                <w:shd w:fill="E87349" w:val="clear"/>
              </w:rPr>
            </w:r>
          </w:p>
        </w:tc>
        <w:tc>
          <w:tcPr>
            <w:tcW w:w="2541" w:type="dxa"/>
            <w:tcBorders/>
            <w:shd w:color="auto" w:fill="FBE4D5" w:themeFill="accent2" w:themeFillTint="33" w:val="clear"/>
          </w:tcPr>
          <w:p>
            <w:pPr>
              <w:pStyle w:val="Normal"/>
              <w:jc w:val="center"/>
              <w:rPr>
                <w:rFonts w:ascii="Avenir Next" w:hAnsi="Avenir Next" w:eastAsia="Times New Roman"/>
                <w:color w:val="000000"/>
                <w:sz w:val="20"/>
                <w:szCs w:val="20"/>
                <w:shd w:fill="E87349" w:val="clear"/>
              </w:rPr>
            </w:pPr>
            <w:r>
              <w:rPr>
                <w:rFonts w:eastAsia="Times New Roman" w:ascii="Avenir Next" w:hAnsi="Avenir Next"/>
                <w:color w:val="000000"/>
                <w:sz w:val="20"/>
                <w:szCs w:val="20"/>
                <w:shd w:fill="E87349" w:val="clear"/>
              </w:rPr>
            </w:r>
          </w:p>
        </w:tc>
      </w:tr>
    </w:tbl>
    <w:p>
      <w:pPr>
        <w:pStyle w:val="Normal"/>
        <w:ind w:left="-284" w:hanging="0"/>
        <w:rPr>
          <w:rFonts w:ascii="Avenir Next" w:hAnsi="Avenir Next"/>
          <w:b/>
          <w:b/>
          <w:shd w:fill="E87349" w:val="clear"/>
        </w:rPr>
      </w:pPr>
      <w:r>
        <w:rPr>
          <w:rFonts w:ascii="Avenir Next" w:hAnsi="Avenir Next"/>
          <w:b/>
          <w:shd w:fill="E87349" w:val="clear"/>
        </w:rPr>
      </w:r>
    </w:p>
    <w:p>
      <w:pPr>
        <w:pStyle w:val="Normal"/>
        <w:rPr>
          <w:rFonts w:ascii="Avenir Next" w:hAnsi="Avenir Next"/>
          <w:b/>
          <w:b/>
        </w:rPr>
      </w:pPr>
      <w:r>
        <w:rPr>
          <w:rFonts w:ascii="Avenir Next" w:hAnsi="Avenir Next"/>
          <w:b/>
        </w:rPr>
      </w:r>
      <w:r>
        <w:br w:type="page"/>
      </w:r>
    </w:p>
    <w:p>
      <w:pPr>
        <w:pStyle w:val="Normal"/>
        <w:rPr>
          <w:rFonts w:ascii="Avenir Next" w:hAnsi="Avenir Next"/>
          <w:b/>
          <w:b/>
        </w:rPr>
      </w:pPr>
      <w:r>
        <w:rPr>
          <w:rFonts w:ascii="Avenir Next" w:hAnsi="Avenir Next"/>
          <w:b/>
        </w:rPr>
      </w:r>
    </w:p>
    <w:tbl>
      <w:tblPr>
        <w:tblW w:w="14399" w:type="dxa"/>
        <w:jc w:val="left"/>
        <w:tblInd w:w="-162" w:type="dxa"/>
        <w:tblBorders>
          <w:top w:val="single" w:sz="4" w:space="0" w:color="00000A"/>
          <w:left w:val="single" w:sz="4" w:space="0" w:color="00000A"/>
        </w:tblBorders>
        <w:tblCellMar>
          <w:top w:w="0" w:type="dxa"/>
          <w:left w:w="108" w:type="dxa"/>
          <w:bottom w:w="0" w:type="dxa"/>
          <w:right w:w="108" w:type="dxa"/>
        </w:tblCellMar>
        <w:tblLook w:firstRow="1" w:noVBand="1" w:lastRow="0" w:firstColumn="1" w:lastColumn="0" w:noHBand="0" w:val="04a0"/>
      </w:tblPr>
      <w:tblGrid>
        <w:gridCol w:w="3419"/>
        <w:gridCol w:w="3180"/>
        <w:gridCol w:w="2889"/>
        <w:gridCol w:w="139"/>
        <w:gridCol w:w="810"/>
        <w:gridCol w:w="1374"/>
        <w:gridCol w:w="335"/>
        <w:gridCol w:w="2253"/>
      </w:tblGrid>
      <w:tr>
        <w:trPr>
          <w:trHeight w:val="106" w:hRule="atLeast"/>
        </w:trPr>
        <w:tc>
          <w:tcPr>
            <w:tcW w:w="3419" w:type="dxa"/>
            <w:tcBorders>
              <w:top w:val="single" w:sz="4" w:space="0" w:color="00000A"/>
              <w:left w:val="single" w:sz="4" w:space="0" w:color="00000A"/>
            </w:tcBorders>
            <w:shd w:color="auto" w:fill="002041" w:val="clear"/>
            <w:tcMar>
              <w:left w:w="108" w:type="dxa"/>
            </w:tcMar>
            <w:vAlign w:val="bottom"/>
          </w:tcPr>
          <w:p>
            <w:pPr>
              <w:pStyle w:val="Normal"/>
              <w:rPr>
                <w:rFonts w:ascii="Avenir Next" w:hAnsi="Avenir Next"/>
                <w:b/>
                <w:b/>
                <w:color w:val="FFFFFF"/>
                <w:sz w:val="20"/>
                <w:szCs w:val="22"/>
              </w:rPr>
            </w:pPr>
            <w:r>
              <w:rPr>
                <w:rFonts w:eastAsia="Times New Roman" w:ascii="Avenir Next" w:hAnsi="Avenir Next"/>
                <w:b/>
                <w:bCs/>
                <w:color w:val="FFD839"/>
                <w:sz w:val="20"/>
                <w:szCs w:val="22"/>
              </w:rPr>
              <w:t>Overall Results:</w:t>
            </w:r>
          </w:p>
        </w:tc>
        <w:tc>
          <w:tcPr>
            <w:tcW w:w="3180" w:type="dxa"/>
            <w:tcBorders/>
            <w:shd w:color="auto" w:fill="FBE4D5" w:themeFill="accent2" w:themeFillTint="33" w:val="clear"/>
            <w:vAlign w:val="bottom"/>
          </w:tcPr>
          <w:p>
            <w:pPr>
              <w:pStyle w:val="Normal"/>
              <w:jc w:val="center"/>
              <w:rPr>
                <w:rFonts w:ascii="Avenir Next" w:hAnsi="Avenir Next"/>
                <w:b/>
                <w:b/>
                <w:sz w:val="20"/>
                <w:szCs w:val="22"/>
              </w:rPr>
            </w:pPr>
            <w:r>
              <w:rPr>
                <w:rFonts w:ascii="Avenir Next" w:hAnsi="Avenir Next"/>
                <w:b/>
                <w:sz w:val="20"/>
                <w:szCs w:val="22"/>
              </w:rPr>
            </w:r>
          </w:p>
        </w:tc>
        <w:tc>
          <w:tcPr>
            <w:tcW w:w="3028" w:type="dxa"/>
            <w:gridSpan w:val="2"/>
            <w:tcBorders/>
            <w:shd w:color="auto" w:fill="FBE4D5" w:themeFill="accent2" w:themeFillTint="33" w:val="clear"/>
            <w:vAlign w:val="bottom"/>
          </w:tcPr>
          <w:p>
            <w:pPr>
              <w:pStyle w:val="Normal"/>
              <w:jc w:val="center"/>
              <w:rPr>
                <w:rFonts w:ascii="Avenir Next" w:hAnsi="Avenir Next"/>
                <w:b/>
                <w:b/>
                <w:sz w:val="20"/>
                <w:szCs w:val="22"/>
              </w:rPr>
            </w:pPr>
            <w:r>
              <w:rPr>
                <w:rFonts w:ascii="Avenir Next" w:hAnsi="Avenir Next"/>
                <w:b/>
                <w:sz w:val="20"/>
                <w:szCs w:val="22"/>
              </w:rPr>
            </w:r>
          </w:p>
        </w:tc>
        <w:tc>
          <w:tcPr>
            <w:tcW w:w="2184" w:type="dxa"/>
            <w:gridSpan w:val="2"/>
            <w:tcBorders/>
            <w:shd w:color="auto" w:fill="FBE4D5" w:themeFill="accent2" w:themeFillTint="33" w:val="clear"/>
            <w:vAlign w:val="bottom"/>
          </w:tcPr>
          <w:p>
            <w:pPr>
              <w:pStyle w:val="Normal"/>
              <w:jc w:val="center"/>
              <w:rPr>
                <w:rFonts w:ascii="Avenir Next" w:hAnsi="Avenir Next"/>
                <w:b/>
                <w:b/>
                <w:sz w:val="20"/>
                <w:szCs w:val="22"/>
              </w:rPr>
            </w:pPr>
            <w:r>
              <w:rPr>
                <w:rFonts w:ascii="Avenir Next" w:hAnsi="Avenir Next"/>
                <w:b/>
                <w:sz w:val="20"/>
                <w:szCs w:val="22"/>
              </w:rPr>
            </w:r>
          </w:p>
        </w:tc>
        <w:tc>
          <w:tcPr>
            <w:tcW w:w="2588" w:type="dxa"/>
            <w:gridSpan w:val="2"/>
            <w:tcBorders/>
            <w:shd w:color="auto" w:fill="FBE4D5" w:themeFill="accent2" w:themeFillTint="33" w:val="clear"/>
            <w:vAlign w:val="bottom"/>
          </w:tcPr>
          <w:p>
            <w:pPr>
              <w:pStyle w:val="Normal"/>
              <w:jc w:val="center"/>
              <w:rPr>
                <w:rFonts w:ascii="Avenir Next" w:hAnsi="Avenir Next"/>
                <w:b/>
                <w:b/>
                <w:sz w:val="20"/>
                <w:szCs w:val="22"/>
              </w:rPr>
            </w:pPr>
            <w:r>
              <w:rPr>
                <w:rFonts w:ascii="Avenir Next" w:hAnsi="Avenir Next"/>
                <w:b/>
                <w:sz w:val="20"/>
                <w:szCs w:val="22"/>
              </w:rPr>
            </w:r>
          </w:p>
        </w:tc>
      </w:tr>
      <w:tr>
        <w:trPr/>
        <w:tc>
          <w:tcPr>
            <w:tcW w:w="3419" w:type="dxa"/>
            <w:tcBorders>
              <w:left w:val="single" w:sz="4" w:space="0" w:color="00000A"/>
            </w:tcBorders>
            <w:shd w:color="auto" w:fill="002041" w:val="clear"/>
            <w:tcMar>
              <w:left w:w="108" w:type="dxa"/>
            </w:tcMar>
            <w:vAlign w:val="bottom"/>
          </w:tcPr>
          <w:p>
            <w:pPr>
              <w:pStyle w:val="Normal"/>
              <w:rPr>
                <w:rFonts w:ascii="Avenir Next" w:hAnsi="Avenir Next"/>
                <w:b/>
                <w:b/>
                <w:color w:val="FFFFFF"/>
                <w:sz w:val="20"/>
                <w:szCs w:val="22"/>
              </w:rPr>
            </w:pPr>
            <w:r>
              <w:rPr>
                <w:rFonts w:ascii="Avenir Next" w:hAnsi="Avenir Next"/>
                <w:b/>
                <w:color w:val="FFFFFF"/>
                <w:sz w:val="20"/>
                <w:szCs w:val="22"/>
              </w:rPr>
            </w:r>
          </w:p>
        </w:tc>
        <w:tc>
          <w:tcPr>
            <w:tcW w:w="6069" w:type="dxa"/>
            <w:gridSpan w:val="2"/>
            <w:tcBorders/>
            <w:shd w:color="auto" w:fill="auto" w:val="clear"/>
            <w:vAlign w:val="bottom"/>
          </w:tcPr>
          <w:p>
            <w:pPr>
              <w:pStyle w:val="Normal"/>
              <w:jc w:val="center"/>
              <w:rPr>
                <w:rFonts w:ascii="Avenir Next" w:hAnsi="Avenir Next"/>
                <w:b/>
                <w:b/>
                <w:sz w:val="20"/>
                <w:szCs w:val="22"/>
              </w:rPr>
            </w:pPr>
            <w:r>
              <w:rPr>
                <w:rFonts w:ascii="Avenir Next" w:hAnsi="Avenir Next"/>
                <w:b/>
                <w:sz w:val="20"/>
                <w:szCs w:val="22"/>
              </w:rPr>
            </w:r>
          </w:p>
        </w:tc>
        <w:tc>
          <w:tcPr>
            <w:tcW w:w="949" w:type="dxa"/>
            <w:gridSpan w:val="2"/>
            <w:tcBorders/>
            <w:shd w:color="auto" w:fill="auto" w:val="clear"/>
            <w:vAlign w:val="bottom"/>
          </w:tcPr>
          <w:p>
            <w:pPr>
              <w:pStyle w:val="Normal"/>
              <w:jc w:val="center"/>
              <w:rPr>
                <w:rFonts w:ascii="Avenir Next" w:hAnsi="Avenir Next"/>
                <w:b/>
                <w:b/>
                <w:sz w:val="20"/>
                <w:szCs w:val="22"/>
              </w:rPr>
            </w:pPr>
            <w:r>
              <w:rPr>
                <w:rFonts w:ascii="Avenir Next" w:hAnsi="Avenir Next"/>
                <w:b/>
                <w:sz w:val="20"/>
                <w:szCs w:val="22"/>
              </w:rPr>
            </w:r>
          </w:p>
        </w:tc>
        <w:tc>
          <w:tcPr>
            <w:tcW w:w="1709" w:type="dxa"/>
            <w:gridSpan w:val="2"/>
            <w:tcBorders/>
            <w:shd w:color="auto" w:fill="auto" w:val="clear"/>
            <w:vAlign w:val="bottom"/>
          </w:tcPr>
          <w:p>
            <w:pPr>
              <w:pStyle w:val="Normal"/>
              <w:jc w:val="center"/>
              <w:rPr>
                <w:rFonts w:ascii="Avenir Next" w:hAnsi="Avenir Next"/>
                <w:b/>
                <w:b/>
                <w:sz w:val="20"/>
                <w:szCs w:val="22"/>
              </w:rPr>
            </w:pPr>
            <w:r>
              <w:rPr>
                <w:rFonts w:ascii="Avenir Next" w:hAnsi="Avenir Next"/>
                <w:b/>
                <w:sz w:val="20"/>
                <w:szCs w:val="22"/>
              </w:rPr>
            </w:r>
          </w:p>
        </w:tc>
        <w:tc>
          <w:tcPr>
            <w:tcW w:w="2253" w:type="dxa"/>
            <w:tcBorders/>
            <w:shd w:color="auto" w:fill="auto" w:val="clear"/>
            <w:vAlign w:val="bottom"/>
          </w:tcPr>
          <w:p>
            <w:pPr>
              <w:pStyle w:val="Normal"/>
              <w:jc w:val="center"/>
              <w:rPr>
                <w:rFonts w:ascii="Avenir Next" w:hAnsi="Avenir Next"/>
                <w:b/>
                <w:b/>
                <w:sz w:val="20"/>
                <w:szCs w:val="22"/>
              </w:rPr>
            </w:pPr>
            <w:r>
              <w:rPr>
                <w:rFonts w:ascii="Avenir Next" w:hAnsi="Avenir Next"/>
                <w:b/>
                <w:sz w:val="20"/>
                <w:szCs w:val="22"/>
              </w:rPr>
            </w:r>
          </w:p>
        </w:tc>
      </w:tr>
      <w:tr>
        <w:trPr/>
        <w:tc>
          <w:tcPr>
            <w:tcW w:w="3419" w:type="dxa"/>
            <w:tcBorders>
              <w:left w:val="single" w:sz="4" w:space="0" w:color="00000A"/>
            </w:tcBorders>
            <w:shd w:color="auto" w:fill="002041" w:val="clear"/>
            <w:tcMar>
              <w:left w:w="108" w:type="dxa"/>
            </w:tcMar>
            <w:vAlign w:val="bottom"/>
          </w:tcPr>
          <w:p>
            <w:pPr>
              <w:pStyle w:val="Normal"/>
              <w:rPr>
                <w:rFonts w:ascii="Avenir Next" w:hAnsi="Avenir Next"/>
                <w:b/>
                <w:b/>
                <w:color w:val="FFFFFF"/>
                <w:sz w:val="20"/>
                <w:szCs w:val="22"/>
              </w:rPr>
            </w:pPr>
            <w:r>
              <w:rPr>
                <w:rFonts w:eastAsia="Times New Roman" w:ascii="Avenir Next" w:hAnsi="Avenir Next"/>
                <w:b/>
                <w:bCs/>
                <w:color w:val="FFFFFF"/>
                <w:sz w:val="20"/>
                <w:szCs w:val="22"/>
              </w:rPr>
              <w:t>Net Unrealised Gain/Loss</w:t>
            </w:r>
          </w:p>
        </w:tc>
        <w:tc>
          <w:tcPr>
            <w:tcW w:w="6069" w:type="dxa"/>
            <w:gridSpan w:val="2"/>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SGD -</w:t>
            </w:r>
          </w:p>
        </w:tc>
        <w:tc>
          <w:tcPr>
            <w:tcW w:w="949" w:type="dxa"/>
            <w:gridSpan w:val="2"/>
            <w:tcBorders/>
            <w:shd w:color="auto" w:fill="auto" w:val="clear"/>
            <w:vAlign w:val="bottom"/>
          </w:tcPr>
          <w:p>
            <w:pPr>
              <w:pStyle w:val="Normal"/>
              <w:jc w:val="center"/>
              <w:rPr>
                <w:rFonts w:ascii="Avenir Next" w:hAnsi="Avenir Next"/>
                <w:b/>
                <w:b/>
                <w:sz w:val="20"/>
                <w:szCs w:val="22"/>
              </w:rPr>
            </w:pPr>
            <w:r>
              <w:rPr>
                <w:rFonts w:ascii="Avenir Next" w:hAnsi="Avenir Next"/>
                <w:b/>
                <w:sz w:val="20"/>
                <w:szCs w:val="22"/>
              </w:rPr>
            </w:r>
          </w:p>
        </w:tc>
        <w:tc>
          <w:tcPr>
            <w:tcW w:w="1709" w:type="dxa"/>
            <w:gridSpan w:val="2"/>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color w:val="000000"/>
                <w:sz w:val="20"/>
                <w:szCs w:val="22"/>
              </w:rPr>
              <w:t>0%</w:t>
            </w:r>
          </w:p>
        </w:tc>
        <w:tc>
          <w:tcPr>
            <w:tcW w:w="2253" w:type="dxa"/>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i/>
                <w:iCs/>
                <w:color w:val="000000"/>
                <w:sz w:val="20"/>
                <w:szCs w:val="22"/>
              </w:rPr>
              <w:t>SGX Stocks</w:t>
            </w:r>
          </w:p>
        </w:tc>
      </w:tr>
      <w:tr>
        <w:trPr/>
        <w:tc>
          <w:tcPr>
            <w:tcW w:w="3419" w:type="dxa"/>
            <w:tcBorders>
              <w:left w:val="single" w:sz="4" w:space="0" w:color="00000A"/>
            </w:tcBorders>
            <w:shd w:color="auto" w:fill="002041" w:val="clear"/>
            <w:tcMar>
              <w:left w:w="108" w:type="dxa"/>
            </w:tcMar>
            <w:vAlign w:val="bottom"/>
          </w:tcPr>
          <w:p>
            <w:pPr>
              <w:pStyle w:val="Normal"/>
              <w:rPr>
                <w:rFonts w:ascii="Avenir Next" w:hAnsi="Avenir Next"/>
                <w:i/>
                <w:i/>
                <w:color w:val="FFFFFF"/>
                <w:sz w:val="20"/>
                <w:szCs w:val="22"/>
              </w:rPr>
            </w:pPr>
            <w:r>
              <w:rPr>
                <w:rFonts w:eastAsia="Times New Roman" w:ascii="Avenir Next" w:hAnsi="Avenir Next"/>
                <w:bCs/>
                <w:i/>
                <w:color w:val="FFFFFF"/>
                <w:sz w:val="20"/>
                <w:szCs w:val="22"/>
              </w:rPr>
              <w:t>In Foreign Currency and SGD</w:t>
            </w:r>
          </w:p>
        </w:tc>
        <w:tc>
          <w:tcPr>
            <w:tcW w:w="6069" w:type="dxa"/>
            <w:gridSpan w:val="2"/>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HKD -</w:t>
            </w:r>
          </w:p>
        </w:tc>
        <w:tc>
          <w:tcPr>
            <w:tcW w:w="949" w:type="dxa"/>
            <w:gridSpan w:val="2"/>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SGD -</w:t>
            </w:r>
          </w:p>
        </w:tc>
        <w:tc>
          <w:tcPr>
            <w:tcW w:w="1709" w:type="dxa"/>
            <w:gridSpan w:val="2"/>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color w:val="000000"/>
                <w:sz w:val="20"/>
                <w:szCs w:val="22"/>
              </w:rPr>
              <w:t>0%</w:t>
            </w:r>
          </w:p>
        </w:tc>
        <w:tc>
          <w:tcPr>
            <w:tcW w:w="2253" w:type="dxa"/>
            <w:tcBorders/>
            <w:shd w:color="auto" w:fill="auto" w:val="clear"/>
            <w:vAlign w:val="bottom"/>
          </w:tcPr>
          <w:p>
            <w:pPr>
              <w:pStyle w:val="Normal"/>
              <w:jc w:val="center"/>
              <w:rPr>
                <w:rFonts w:ascii="Avenir Next" w:hAnsi="Avenir Next"/>
                <w:b/>
                <w:b/>
                <w:sz w:val="20"/>
                <w:szCs w:val="22"/>
              </w:rPr>
            </w:pPr>
            <w:r>
              <w:rPr>
                <w:rFonts w:eastAsia="Times New Roman" w:ascii="Avenir Next" w:hAnsi="Avenir Next"/>
                <w:i/>
                <w:iCs/>
                <w:color w:val="000000"/>
                <w:sz w:val="20"/>
                <w:szCs w:val="22"/>
              </w:rPr>
              <w:t>HKEX Stocks</w:t>
            </w:r>
          </w:p>
        </w:tc>
      </w:tr>
      <w:tr>
        <w:trPr>
          <w:trHeight w:val="307" w:hRule="atLeast"/>
        </w:trPr>
        <w:tc>
          <w:tcPr>
            <w:tcW w:w="3419" w:type="dxa"/>
            <w:tcBorders>
              <w:left w:val="single" w:sz="4" w:space="0" w:color="00000A"/>
            </w:tcBorders>
            <w:shd w:color="auto" w:fill="002041" w:val="clear"/>
            <w:tcMar>
              <w:left w:w="108" w:type="dxa"/>
            </w:tcMar>
          </w:tcPr>
          <w:p>
            <w:pPr>
              <w:pStyle w:val="Normal"/>
              <w:rPr>
                <w:rFonts w:ascii="Avenir Next" w:hAnsi="Avenir Next"/>
                <w:b/>
                <w:b/>
                <w:color w:val="FFFFFF"/>
                <w:sz w:val="20"/>
                <w:szCs w:val="22"/>
              </w:rPr>
            </w:pPr>
            <w:r>
              <w:rPr>
                <w:rFonts w:ascii="Avenir Next" w:hAnsi="Avenir Next"/>
                <w:b/>
                <w:color w:val="FFFFFF"/>
                <w:sz w:val="20"/>
                <w:szCs w:val="22"/>
              </w:rPr>
            </w:r>
          </w:p>
        </w:tc>
        <w:tc>
          <w:tcPr>
            <w:tcW w:w="606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USD -</w:t>
            </w:r>
          </w:p>
        </w:tc>
        <w:tc>
          <w:tcPr>
            <w:tcW w:w="94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SGD -</w:t>
            </w:r>
          </w:p>
        </w:tc>
        <w:tc>
          <w:tcPr>
            <w:tcW w:w="170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color w:val="000000"/>
                <w:sz w:val="20"/>
                <w:szCs w:val="22"/>
              </w:rPr>
              <w:t>0%</w:t>
            </w:r>
          </w:p>
        </w:tc>
        <w:tc>
          <w:tcPr>
            <w:tcW w:w="2253" w:type="dxa"/>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i/>
                <w:iCs/>
                <w:color w:val="000000"/>
                <w:sz w:val="20"/>
                <w:szCs w:val="22"/>
              </w:rPr>
              <w:t>NYSE Stocks</w:t>
            </w:r>
          </w:p>
        </w:tc>
      </w:tr>
      <w:tr>
        <w:trPr>
          <w:trHeight w:val="101" w:hRule="atLeast"/>
        </w:trPr>
        <w:tc>
          <w:tcPr>
            <w:tcW w:w="3419" w:type="dxa"/>
            <w:tcBorders>
              <w:left w:val="single" w:sz="4" w:space="0" w:color="00000A"/>
            </w:tcBorders>
            <w:shd w:color="auto" w:fill="002041" w:val="clear"/>
            <w:tcMar>
              <w:left w:w="108" w:type="dxa"/>
            </w:tcMar>
            <w:vAlign w:val="bottom"/>
          </w:tcPr>
          <w:p>
            <w:pPr>
              <w:pStyle w:val="Normal"/>
              <w:rPr>
                <w:rFonts w:ascii="Avenir Next" w:hAnsi="Avenir Next" w:eastAsia="Times New Roman"/>
                <w:b/>
                <w:b/>
                <w:bCs/>
                <w:color w:val="FFFFFF"/>
                <w:sz w:val="20"/>
                <w:szCs w:val="22"/>
              </w:rPr>
            </w:pPr>
            <w:r>
              <w:rPr>
                <w:rFonts w:eastAsia="Times New Roman" w:ascii="Avenir Next" w:hAnsi="Avenir Next"/>
                <w:b/>
                <w:bCs/>
                <w:color w:val="FFFFFF"/>
                <w:sz w:val="20"/>
                <w:szCs w:val="22"/>
              </w:rPr>
            </w:r>
          </w:p>
        </w:tc>
        <w:tc>
          <w:tcPr>
            <w:tcW w:w="6069" w:type="dxa"/>
            <w:gridSpan w:val="2"/>
            <w:tcBorders/>
            <w:shd w:color="auto" w:fill="FBE4D5" w:themeFill="accent2" w:themeFillTint="33" w:val="clear"/>
            <w:vAlign w:val="bottom"/>
          </w:tcPr>
          <w:p>
            <w:pPr>
              <w:pStyle w:val="Normal"/>
              <w:rPr>
                <w:rFonts w:ascii="Avenir Next" w:hAnsi="Avenir Next"/>
                <w:b/>
                <w:b/>
                <w:sz w:val="20"/>
                <w:szCs w:val="22"/>
              </w:rPr>
            </w:pPr>
            <w:r>
              <w:rPr>
                <w:rFonts w:ascii="Avenir Next" w:hAnsi="Avenir Next"/>
                <w:b/>
                <w:sz w:val="20"/>
                <w:szCs w:val="22"/>
              </w:rPr>
            </w:r>
          </w:p>
        </w:tc>
        <w:tc>
          <w:tcPr>
            <w:tcW w:w="949" w:type="dxa"/>
            <w:gridSpan w:val="2"/>
            <w:tcBorders/>
            <w:shd w:color="auto" w:fill="FBE4D5" w:themeFill="accent2" w:themeFillTint="33" w:val="clear"/>
            <w:vAlign w:val="bottom"/>
          </w:tcPr>
          <w:p>
            <w:pPr>
              <w:pStyle w:val="Normal"/>
              <w:rPr>
                <w:rFonts w:ascii="Avenir Next" w:hAnsi="Avenir Next"/>
                <w:b/>
                <w:b/>
                <w:sz w:val="20"/>
                <w:szCs w:val="22"/>
              </w:rPr>
            </w:pPr>
            <w:r>
              <w:rPr>
                <w:rFonts w:ascii="Avenir Next" w:hAnsi="Avenir Next"/>
                <w:b/>
                <w:sz w:val="20"/>
                <w:szCs w:val="22"/>
              </w:rPr>
            </w:r>
          </w:p>
        </w:tc>
        <w:tc>
          <w:tcPr>
            <w:tcW w:w="1709" w:type="dxa"/>
            <w:gridSpan w:val="2"/>
            <w:tcBorders/>
            <w:shd w:color="auto" w:fill="FBE4D5" w:themeFill="accent2" w:themeFillTint="33" w:val="clear"/>
            <w:vAlign w:val="bottom"/>
          </w:tcPr>
          <w:p>
            <w:pPr>
              <w:pStyle w:val="Normal"/>
              <w:rPr>
                <w:rFonts w:ascii="Avenir Next" w:hAnsi="Avenir Next"/>
                <w:b/>
                <w:b/>
                <w:sz w:val="20"/>
                <w:szCs w:val="22"/>
              </w:rPr>
            </w:pPr>
            <w:r>
              <w:rPr>
                <w:rFonts w:ascii="Avenir Next" w:hAnsi="Avenir Next"/>
                <w:b/>
                <w:sz w:val="20"/>
                <w:szCs w:val="22"/>
              </w:rPr>
            </w:r>
          </w:p>
        </w:tc>
        <w:tc>
          <w:tcPr>
            <w:tcW w:w="2253" w:type="dxa"/>
            <w:tcBorders/>
            <w:shd w:color="auto" w:fill="FBE4D5" w:themeFill="accent2" w:themeFillTint="33" w:val="clear"/>
            <w:vAlign w:val="bottom"/>
          </w:tcPr>
          <w:p>
            <w:pPr>
              <w:pStyle w:val="Normal"/>
              <w:rPr>
                <w:rFonts w:ascii="Avenir Next" w:hAnsi="Avenir Next"/>
                <w:b/>
                <w:b/>
                <w:sz w:val="20"/>
                <w:szCs w:val="22"/>
              </w:rPr>
            </w:pPr>
            <w:r>
              <w:rPr>
                <w:rFonts w:ascii="Avenir Next" w:hAnsi="Avenir Next"/>
                <w:b/>
                <w:sz w:val="20"/>
                <w:szCs w:val="22"/>
              </w:rPr>
            </w:r>
          </w:p>
        </w:tc>
      </w:tr>
      <w:tr>
        <w:trPr>
          <w:trHeight w:val="307" w:hRule="atLeast"/>
        </w:trPr>
        <w:tc>
          <w:tcPr>
            <w:tcW w:w="3419" w:type="dxa"/>
            <w:tcBorders>
              <w:left w:val="single" w:sz="4" w:space="0" w:color="00000A"/>
            </w:tcBorders>
            <w:shd w:color="auto" w:fill="002041" w:val="clear"/>
            <w:tcMar>
              <w:left w:w="108" w:type="dxa"/>
            </w:tcMar>
            <w:vAlign w:val="bottom"/>
          </w:tcPr>
          <w:p>
            <w:pPr>
              <w:pStyle w:val="Normal"/>
              <w:rPr>
                <w:rFonts w:ascii="Avenir Next" w:hAnsi="Avenir Next"/>
                <w:b/>
                <w:b/>
                <w:color w:val="FFFFFF"/>
                <w:sz w:val="20"/>
                <w:szCs w:val="22"/>
              </w:rPr>
            </w:pPr>
            <w:r>
              <w:rPr>
                <w:rFonts w:eastAsia="Times New Roman" w:ascii="Avenir Next" w:hAnsi="Avenir Next"/>
                <w:b/>
                <w:bCs/>
                <w:color w:val="FFFFFF"/>
                <w:sz w:val="20"/>
                <w:szCs w:val="22"/>
              </w:rPr>
              <w:t>Net Unrealised Gain/Loss</w:t>
            </w:r>
          </w:p>
        </w:tc>
        <w:tc>
          <w:tcPr>
            <w:tcW w:w="606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SGD -</w:t>
            </w:r>
          </w:p>
        </w:tc>
        <w:tc>
          <w:tcPr>
            <w:tcW w:w="949" w:type="dxa"/>
            <w:gridSpan w:val="2"/>
            <w:tcBorders/>
            <w:shd w:color="auto" w:fill="FFFFFF" w:val="clear"/>
            <w:vAlign w:val="bottom"/>
          </w:tcPr>
          <w:p>
            <w:pPr>
              <w:pStyle w:val="Normal"/>
              <w:jc w:val="center"/>
              <w:rPr>
                <w:rFonts w:ascii="Avenir Next" w:hAnsi="Avenir Next"/>
                <w:b/>
                <w:b/>
                <w:sz w:val="20"/>
                <w:szCs w:val="22"/>
              </w:rPr>
            </w:pPr>
            <w:r>
              <w:rPr>
                <w:rFonts w:ascii="Avenir Next" w:hAnsi="Avenir Next"/>
                <w:b/>
                <w:sz w:val="20"/>
                <w:szCs w:val="22"/>
              </w:rPr>
            </w:r>
          </w:p>
        </w:tc>
        <w:tc>
          <w:tcPr>
            <w:tcW w:w="170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color w:val="000000"/>
                <w:sz w:val="20"/>
                <w:szCs w:val="22"/>
              </w:rPr>
              <w:t>0%</w:t>
            </w:r>
          </w:p>
        </w:tc>
        <w:tc>
          <w:tcPr>
            <w:tcW w:w="2253" w:type="dxa"/>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i/>
                <w:iCs/>
                <w:color w:val="000000"/>
                <w:sz w:val="20"/>
                <w:szCs w:val="22"/>
              </w:rPr>
              <w:t>SGX Stocks</w:t>
            </w:r>
          </w:p>
        </w:tc>
      </w:tr>
      <w:tr>
        <w:trPr>
          <w:trHeight w:val="307" w:hRule="atLeast"/>
        </w:trPr>
        <w:tc>
          <w:tcPr>
            <w:tcW w:w="3419" w:type="dxa"/>
            <w:tcBorders>
              <w:left w:val="single" w:sz="4" w:space="0" w:color="00000A"/>
            </w:tcBorders>
            <w:shd w:color="auto" w:fill="002041" w:val="clear"/>
            <w:tcMar>
              <w:left w:w="108" w:type="dxa"/>
            </w:tcMar>
            <w:vAlign w:val="bottom"/>
          </w:tcPr>
          <w:p>
            <w:pPr>
              <w:pStyle w:val="Normal"/>
              <w:rPr>
                <w:rFonts w:ascii="Avenir Next" w:hAnsi="Avenir Next"/>
                <w:b/>
                <w:b/>
                <w:color w:val="FFFFFF"/>
                <w:sz w:val="20"/>
                <w:szCs w:val="22"/>
              </w:rPr>
            </w:pPr>
            <w:r>
              <w:rPr>
                <w:rFonts w:eastAsia="Times New Roman" w:ascii="Avenir Next" w:hAnsi="Avenir Next"/>
                <w:bCs/>
                <w:i/>
                <w:color w:val="FFFFFF"/>
                <w:sz w:val="20"/>
                <w:szCs w:val="22"/>
              </w:rPr>
              <w:t>In Foreign Currency and SGD</w:t>
            </w:r>
          </w:p>
        </w:tc>
        <w:tc>
          <w:tcPr>
            <w:tcW w:w="606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HKD -</w:t>
            </w:r>
          </w:p>
        </w:tc>
        <w:tc>
          <w:tcPr>
            <w:tcW w:w="94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SGD -</w:t>
            </w:r>
          </w:p>
        </w:tc>
        <w:tc>
          <w:tcPr>
            <w:tcW w:w="170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color w:val="000000"/>
                <w:sz w:val="20"/>
                <w:szCs w:val="22"/>
              </w:rPr>
              <w:t>0%</w:t>
            </w:r>
          </w:p>
        </w:tc>
        <w:tc>
          <w:tcPr>
            <w:tcW w:w="2253" w:type="dxa"/>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i/>
                <w:iCs/>
                <w:color w:val="000000"/>
                <w:sz w:val="20"/>
                <w:szCs w:val="22"/>
              </w:rPr>
              <w:t>HKEX Stocks</w:t>
            </w:r>
          </w:p>
        </w:tc>
      </w:tr>
      <w:tr>
        <w:trPr>
          <w:trHeight w:val="307" w:hRule="atLeast"/>
        </w:trPr>
        <w:tc>
          <w:tcPr>
            <w:tcW w:w="3419" w:type="dxa"/>
            <w:tcBorders>
              <w:left w:val="single" w:sz="4" w:space="0" w:color="00000A"/>
            </w:tcBorders>
            <w:shd w:color="auto" w:fill="002041" w:val="clear"/>
            <w:tcMar>
              <w:left w:w="108" w:type="dxa"/>
            </w:tcMar>
          </w:tcPr>
          <w:p>
            <w:pPr>
              <w:pStyle w:val="Normal"/>
              <w:rPr>
                <w:rFonts w:ascii="Avenir Next" w:hAnsi="Avenir Next"/>
                <w:b/>
                <w:b/>
                <w:color w:val="FFFFFF"/>
                <w:sz w:val="20"/>
                <w:szCs w:val="22"/>
              </w:rPr>
            </w:pPr>
            <w:r>
              <w:rPr>
                <w:rFonts w:ascii="Avenir Next" w:hAnsi="Avenir Next"/>
                <w:b/>
                <w:color w:val="FFFFFF"/>
                <w:sz w:val="20"/>
                <w:szCs w:val="22"/>
              </w:rPr>
            </w:r>
          </w:p>
        </w:tc>
        <w:tc>
          <w:tcPr>
            <w:tcW w:w="606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USD -</w:t>
            </w:r>
          </w:p>
        </w:tc>
        <w:tc>
          <w:tcPr>
            <w:tcW w:w="94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b/>
                <w:bCs/>
                <w:color w:val="000000"/>
                <w:sz w:val="20"/>
                <w:szCs w:val="22"/>
              </w:rPr>
              <w:t>SGD -</w:t>
            </w:r>
          </w:p>
        </w:tc>
        <w:tc>
          <w:tcPr>
            <w:tcW w:w="1709" w:type="dxa"/>
            <w:gridSpan w:val="2"/>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color w:val="000000"/>
                <w:sz w:val="20"/>
                <w:szCs w:val="22"/>
              </w:rPr>
              <w:t>0%</w:t>
            </w:r>
          </w:p>
        </w:tc>
        <w:tc>
          <w:tcPr>
            <w:tcW w:w="2253" w:type="dxa"/>
            <w:tcBorders/>
            <w:shd w:color="auto" w:fill="FFFFFF" w:val="clear"/>
            <w:vAlign w:val="bottom"/>
          </w:tcPr>
          <w:p>
            <w:pPr>
              <w:pStyle w:val="Normal"/>
              <w:jc w:val="center"/>
              <w:rPr>
                <w:rFonts w:ascii="Avenir Next" w:hAnsi="Avenir Next"/>
                <w:b/>
                <w:b/>
                <w:sz w:val="20"/>
                <w:szCs w:val="22"/>
              </w:rPr>
            </w:pPr>
            <w:r>
              <w:rPr>
                <w:rFonts w:eastAsia="Times New Roman" w:ascii="Avenir Next" w:hAnsi="Avenir Next"/>
                <w:i/>
                <w:iCs/>
                <w:color w:val="000000"/>
                <w:sz w:val="20"/>
                <w:szCs w:val="22"/>
              </w:rPr>
              <w:t>NYSE Stocks</w:t>
            </w:r>
          </w:p>
        </w:tc>
      </w:tr>
    </w:tbl>
    <w:p>
      <w:pPr>
        <w:pStyle w:val="Normal"/>
        <w:rPr>
          <w:rFonts w:ascii="Avenir Next" w:hAnsi="Avenir Next"/>
          <w:b/>
          <w:b/>
        </w:rPr>
      </w:pPr>
      <w:r>
        <w:rPr>
          <w:rFonts w:ascii="Avenir Next" w:hAnsi="Avenir Next"/>
          <w:b/>
        </w:rPr>
      </w:r>
    </w:p>
    <w:p>
      <w:pPr>
        <w:pStyle w:val="Normal"/>
        <w:rPr>
          <w:rFonts w:ascii="Avenir Next" w:hAnsi="Avenir Next"/>
          <w:b/>
          <w:b/>
        </w:rPr>
      </w:pPr>
      <w:r>
        <w:rPr>
          <w:rFonts w:ascii="Avenir Next" w:hAnsi="Avenir Next"/>
          <w:b/>
        </w:rPr>
        <w:t xml:space="preserve"> </w:t>
      </w:r>
      <w:r>
        <w:br w:type="page"/>
      </w:r>
    </w:p>
    <w:p>
      <w:pPr>
        <w:pStyle w:val="Normal"/>
        <w:ind w:left="-567" w:hanging="0"/>
        <w:rPr>
          <w:rFonts w:ascii="Avenir Next" w:hAnsi="Avenir Next"/>
          <w:b/>
          <w:b/>
        </w:rPr>
      </w:pPr>
      <w:r>
        <w:rPr>
          <w:rFonts w:ascii="Avenir Next" w:hAnsi="Avenir Next"/>
          <w:b/>
        </w:rPr>
        <w:t xml:space="preserve">Appendix V – Commission Metals Future </w:t>
      </w:r>
    </w:p>
    <w:p>
      <w:pPr>
        <w:pStyle w:val="Normal"/>
        <w:rPr>
          <w:rFonts w:ascii="Avenir Next" w:hAnsi="Avenir Next"/>
          <w:b/>
          <w:b/>
        </w:rPr>
      </w:pPr>
      <w:r>
        <w:rPr>
          <w:rFonts w:ascii="Avenir Next" w:hAnsi="Avenir Next"/>
          <w:b/>
        </w:rPr>
      </w:r>
    </w:p>
    <w:tbl>
      <w:tblPr>
        <w:tblW w:w="14494" w:type="dxa"/>
        <w:jc w:val="left"/>
        <w:tblInd w:w="0" w:type="dxa"/>
        <w:tblBorders/>
        <w:tblCellMar>
          <w:top w:w="0" w:type="dxa"/>
          <w:left w:w="108" w:type="dxa"/>
          <w:bottom w:w="0" w:type="dxa"/>
          <w:right w:w="108" w:type="dxa"/>
        </w:tblCellMar>
        <w:tblLook w:firstRow="1" w:noVBand="1" w:lastRow="0" w:firstColumn="1" w:lastColumn="0" w:noHBand="0" w:val="04a0"/>
      </w:tblPr>
      <w:tblGrid>
        <w:gridCol w:w="1794"/>
        <w:gridCol w:w="1801"/>
        <w:gridCol w:w="1815"/>
        <w:gridCol w:w="1815"/>
        <w:gridCol w:w="1813"/>
        <w:gridCol w:w="1818"/>
        <w:gridCol w:w="1817"/>
        <w:gridCol w:w="1819"/>
      </w:tblGrid>
      <w:tr>
        <w:trPr>
          <w:trHeight w:val="101" w:hRule="atLeast"/>
        </w:trPr>
        <w:tc>
          <w:tcPr>
            <w:tcW w:w="1794"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Month</w:t>
            </w:r>
          </w:p>
        </w:tc>
        <w:tc>
          <w:tcPr>
            <w:tcW w:w="1801"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Monthly Returns</w:t>
            </w:r>
          </w:p>
        </w:tc>
        <w:tc>
          <w:tcPr>
            <w:tcW w:w="1815"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Cumulative Returns %</w:t>
            </w:r>
          </w:p>
        </w:tc>
        <w:tc>
          <w:tcPr>
            <w:tcW w:w="1815"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Cumulative Returns</w:t>
            </w:r>
          </w:p>
        </w:tc>
        <w:tc>
          <w:tcPr>
            <w:tcW w:w="1813"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Balance (Net of comms) At End of Month</w:t>
            </w:r>
          </w:p>
        </w:tc>
        <w:tc>
          <w:tcPr>
            <w:tcW w:w="1818"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Cumulative Commission Charged</w:t>
            </w:r>
          </w:p>
        </w:tc>
        <w:tc>
          <w:tcPr>
            <w:tcW w:w="1817"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Commission for The Month</w:t>
            </w:r>
          </w:p>
        </w:tc>
        <w:tc>
          <w:tcPr>
            <w:tcW w:w="1819" w:type="dxa"/>
            <w:tcBorders/>
            <w:shd w:color="auto" w:fill="E87349" w:val="clear"/>
            <w:vAlign w:val="center"/>
          </w:tcPr>
          <w:p>
            <w:pPr>
              <w:pStyle w:val="Normal"/>
              <w:jc w:val="center"/>
              <w:rPr>
                <w:rFonts w:ascii="Avenir Next" w:hAnsi="Avenir Next"/>
                <w:b/>
                <w:b/>
                <w:color w:val="FFFFFF" w:themeColor="background1"/>
                <w:sz w:val="20"/>
                <w:szCs w:val="20"/>
              </w:rPr>
            </w:pPr>
            <w:r>
              <w:rPr>
                <w:rFonts w:eastAsia="Times New Roman" w:ascii="Avenir Next" w:hAnsi="Avenir Next"/>
                <w:b/>
                <w:bCs/>
                <w:color w:val="FFFFFF" w:themeColor="background1"/>
                <w:sz w:val="20"/>
                <w:szCs w:val="20"/>
              </w:rPr>
              <w:t>Commission Tranche</w:t>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sz w:val="20"/>
                <w:szCs w:val="20"/>
              </w:rPr>
              <w:t>Jan-17</w:t>
            </w:r>
          </w:p>
        </w:tc>
        <w:tc>
          <w:tcPr>
            <w:tcW w:w="1801"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3"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8"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7"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9"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color w:val="000000"/>
                <w:sz w:val="20"/>
                <w:szCs w:val="20"/>
              </w:rPr>
              <w:t>Feb-17</w:t>
            </w:r>
          </w:p>
        </w:tc>
        <w:tc>
          <w:tcPr>
            <w:tcW w:w="1801"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3"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8"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7"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9"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sz w:val="20"/>
                <w:szCs w:val="20"/>
              </w:rPr>
              <w:t>Mar-17</w:t>
            </w:r>
          </w:p>
        </w:tc>
        <w:tc>
          <w:tcPr>
            <w:tcW w:w="1801"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3"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8"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7"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9"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color w:val="000000"/>
                <w:sz w:val="20"/>
                <w:szCs w:val="20"/>
              </w:rPr>
              <w:t>Apr-17</w:t>
            </w:r>
          </w:p>
        </w:tc>
        <w:tc>
          <w:tcPr>
            <w:tcW w:w="1801"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3"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8"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7"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9"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sz w:val="20"/>
                <w:szCs w:val="20"/>
              </w:rPr>
              <w:t>May-17</w:t>
            </w:r>
          </w:p>
        </w:tc>
        <w:tc>
          <w:tcPr>
            <w:tcW w:w="1801"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sz w:val="20"/>
                <w:szCs w:val="20"/>
              </w:rPr>
              <w:t>-</w:t>
            </w:r>
          </w:p>
        </w:tc>
        <w:tc>
          <w:tcPr>
            <w:tcW w:w="1815"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3"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8"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7"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c>
          <w:tcPr>
            <w:tcW w:w="1819" w:type="dxa"/>
            <w:tcBorders/>
            <w:shd w:color="auto" w:fill="auto" w:val="clear"/>
            <w:vAlign w:val="bottom"/>
          </w:tcPr>
          <w:p>
            <w:pPr>
              <w:pStyle w:val="Normal"/>
              <w:jc w:val="center"/>
              <w:rPr>
                <w:rFonts w:ascii="Avenir Next" w:hAnsi="Avenir Next"/>
                <w:b/>
                <w:b/>
                <w:sz w:val="20"/>
                <w:szCs w:val="20"/>
              </w:rPr>
            </w:pPr>
            <w:r>
              <w:rPr>
                <w:rFonts w:eastAsia="Times New Roman" w:ascii="Avenir Next" w:hAnsi="Avenir Next"/>
                <w:color w:val="000000"/>
                <w:sz w:val="20"/>
                <w:szCs w:val="20"/>
              </w:rPr>
              <w:t>-</w:t>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color w:val="000000"/>
                <w:sz w:val="20"/>
                <w:szCs w:val="20"/>
              </w:rPr>
              <w:t>Jun-17</w:t>
            </w:r>
          </w:p>
        </w:tc>
        <w:tc>
          <w:tcPr>
            <w:tcW w:w="1801"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3"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8"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7"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9" w:type="dxa"/>
            <w:tcBorders/>
            <w:shd w:color="auto" w:fill="auto" w:val="clear"/>
          </w:tcPr>
          <w:p>
            <w:pPr>
              <w:pStyle w:val="Normal"/>
              <w:rPr>
                <w:rFonts w:ascii="Avenir Next" w:hAnsi="Avenir Next"/>
                <w:b/>
                <w:b/>
                <w:sz w:val="20"/>
                <w:szCs w:val="20"/>
              </w:rPr>
            </w:pPr>
            <w:r>
              <w:rPr>
                <w:rFonts w:ascii="Avenir Next" w:hAnsi="Avenir Next"/>
                <w:b/>
                <w:sz w:val="20"/>
                <w:szCs w:val="20"/>
              </w:rPr>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sz w:val="20"/>
                <w:szCs w:val="20"/>
              </w:rPr>
              <w:t>Jul-17</w:t>
            </w:r>
          </w:p>
        </w:tc>
        <w:tc>
          <w:tcPr>
            <w:tcW w:w="1801"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3"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8"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7"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9" w:type="dxa"/>
            <w:tcBorders/>
            <w:shd w:color="auto" w:fill="auto" w:val="clear"/>
          </w:tcPr>
          <w:p>
            <w:pPr>
              <w:pStyle w:val="Normal"/>
              <w:rPr>
                <w:rFonts w:ascii="Avenir Next" w:hAnsi="Avenir Next"/>
                <w:b/>
                <w:b/>
                <w:sz w:val="20"/>
                <w:szCs w:val="20"/>
              </w:rPr>
            </w:pPr>
            <w:r>
              <w:rPr>
                <w:rFonts w:ascii="Avenir Next" w:hAnsi="Avenir Next"/>
                <w:b/>
                <w:sz w:val="20"/>
                <w:szCs w:val="20"/>
              </w:rPr>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color w:val="000000"/>
                <w:sz w:val="20"/>
                <w:szCs w:val="20"/>
              </w:rPr>
              <w:t>Aug-17</w:t>
            </w:r>
          </w:p>
        </w:tc>
        <w:tc>
          <w:tcPr>
            <w:tcW w:w="1801"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3"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8"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7"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9" w:type="dxa"/>
            <w:tcBorders/>
            <w:shd w:color="auto" w:fill="auto" w:val="clear"/>
          </w:tcPr>
          <w:p>
            <w:pPr>
              <w:pStyle w:val="Normal"/>
              <w:rPr>
                <w:rFonts w:ascii="Avenir Next" w:hAnsi="Avenir Next"/>
                <w:b/>
                <w:b/>
                <w:sz w:val="20"/>
                <w:szCs w:val="20"/>
              </w:rPr>
            </w:pPr>
            <w:r>
              <w:rPr>
                <w:rFonts w:ascii="Avenir Next" w:hAnsi="Avenir Next"/>
                <w:b/>
                <w:sz w:val="20"/>
                <w:szCs w:val="20"/>
              </w:rPr>
            </w:r>
          </w:p>
        </w:tc>
      </w:tr>
      <w:tr>
        <w:trPr/>
        <w:tc>
          <w:tcPr>
            <w:tcW w:w="1794" w:type="dxa"/>
            <w:tcBorders/>
            <w:shd w:color="auto" w:fill="auto" w:val="clear"/>
            <w:vAlign w:val="bottom"/>
          </w:tcPr>
          <w:p>
            <w:pPr>
              <w:pStyle w:val="Normal"/>
              <w:rPr>
                <w:rFonts w:ascii="Avenir Next" w:hAnsi="Avenir Next"/>
                <w:b/>
                <w:b/>
                <w:sz w:val="20"/>
                <w:szCs w:val="20"/>
              </w:rPr>
            </w:pPr>
            <w:r>
              <w:rPr>
                <w:rFonts w:eastAsia="Times New Roman" w:ascii="Avenir Next" w:hAnsi="Avenir Next"/>
                <w:color w:val="000000"/>
                <w:sz w:val="20"/>
                <w:szCs w:val="20"/>
              </w:rPr>
              <w:t>Sep-17</w:t>
            </w:r>
          </w:p>
        </w:tc>
        <w:tc>
          <w:tcPr>
            <w:tcW w:w="1801"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5"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3"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8"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7" w:type="dxa"/>
            <w:tcBorders/>
            <w:shd w:color="auto" w:fill="auto" w:val="clear"/>
          </w:tcPr>
          <w:p>
            <w:pPr>
              <w:pStyle w:val="Normal"/>
              <w:rPr>
                <w:rFonts w:ascii="Avenir Next" w:hAnsi="Avenir Next"/>
                <w:b/>
                <w:b/>
                <w:sz w:val="20"/>
                <w:szCs w:val="20"/>
              </w:rPr>
            </w:pPr>
            <w:r>
              <w:rPr>
                <w:rFonts w:ascii="Avenir Next" w:hAnsi="Avenir Next"/>
                <w:b/>
                <w:sz w:val="20"/>
                <w:szCs w:val="20"/>
              </w:rPr>
            </w:r>
          </w:p>
        </w:tc>
        <w:tc>
          <w:tcPr>
            <w:tcW w:w="1819" w:type="dxa"/>
            <w:tcBorders/>
            <w:shd w:color="auto" w:fill="auto" w:val="clear"/>
          </w:tcPr>
          <w:p>
            <w:pPr>
              <w:pStyle w:val="Normal"/>
              <w:rPr>
                <w:rFonts w:ascii="Avenir Next" w:hAnsi="Avenir Next"/>
                <w:b/>
                <w:b/>
                <w:sz w:val="20"/>
                <w:szCs w:val="20"/>
              </w:rPr>
            </w:pPr>
            <w:r>
              <w:rPr>
                <w:rFonts w:ascii="Avenir Next" w:hAnsi="Avenir Next"/>
                <w:b/>
                <w:sz w:val="20"/>
                <w:szCs w:val="20"/>
              </w:rPr>
            </w:r>
          </w:p>
        </w:tc>
      </w:tr>
    </w:tbl>
    <w:p>
      <w:pPr>
        <w:sectPr>
          <w:headerReference w:type="default" r:id="rId6"/>
          <w:footerReference w:type="default" r:id="rId7"/>
          <w:type w:val="nextPage"/>
          <w:pgSz w:orient="landscape" w:w="16838" w:h="11906"/>
          <w:pgMar w:left="1202" w:right="1145" w:header="709" w:top="1440" w:footer="709" w:bottom="1440" w:gutter="0"/>
          <w:pgNumType w:start="0" w:fmt="decimal"/>
          <w:formProt w:val="false"/>
          <w:textDirection w:val="lrTb"/>
          <w:docGrid w:type="default" w:linePitch="400" w:charSpace="4294961151"/>
        </w:sectPr>
      </w:pPr>
    </w:p>
    <w:p>
      <w:pPr>
        <w:pStyle w:val="Normal"/>
        <w:numPr>
          <w:ilvl w:val="0"/>
          <w:numId w:val="0"/>
        </w:numPr>
        <w:ind w:left="-284" w:hanging="0"/>
        <w:outlineLvl w:val="0"/>
        <w:rPr>
          <w:rFonts w:ascii="Avenir Next" w:hAnsi="Avenir Next"/>
          <w:b/>
          <w:b/>
        </w:rPr>
      </w:pPr>
      <w:r>
        <w:rPr>
          <w:rFonts w:ascii="Avenir Next" w:hAnsi="Avenir Next"/>
          <w:b/>
        </w:rPr>
      </w:r>
    </w:p>
    <w:p>
      <w:pPr>
        <w:pStyle w:val="Normal"/>
        <w:numPr>
          <w:ilvl w:val="0"/>
          <w:numId w:val="0"/>
        </w:numPr>
        <w:ind w:left="-284" w:hanging="0"/>
        <w:outlineLvl w:val="0"/>
        <w:rPr>
          <w:rFonts w:ascii="Avenir Next" w:hAnsi="Avenir Next"/>
          <w:b/>
          <w:b/>
        </w:rPr>
      </w:pPr>
      <w:r>
        <mc:AlternateContent>
          <mc:Choice Requires="wps">
            <w:drawing>
              <wp:anchor behindDoc="0" distT="0" distB="0" distL="114300" distR="114300" simplePos="0" locked="0" layoutInCell="1" allowOverlap="1" relativeHeight="16" wp14:anchorId="16942BC1">
                <wp:simplePos x="0" y="0"/>
                <wp:positionH relativeFrom="column">
                  <wp:posOffset>-217805</wp:posOffset>
                </wp:positionH>
                <wp:positionV relativeFrom="paragraph">
                  <wp:posOffset>447675</wp:posOffset>
                </wp:positionV>
                <wp:extent cx="1066165" cy="338455"/>
                <wp:effectExtent l="0" t="0" r="1270" b="0"/>
                <wp:wrapSquare wrapText="bothSides"/>
                <wp:docPr id="24" name="Rectangle 35"/>
                <a:graphic xmlns:a="http://schemas.openxmlformats.org/drawingml/2006/main">
                  <a:graphicData uri="http://schemas.microsoft.com/office/word/2010/wordprocessingShape">
                    <wps:wsp>
                      <wps:cNvSpPr/>
                      <wps:spPr>
                        <a:xfrm>
                          <a:off x="0" y="0"/>
                          <a:ext cx="1065600" cy="33768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rPr>
                              <w:t>Aluminum</w:t>
                            </w:r>
                          </w:p>
                        </w:txbxContent>
                      </wps:txbx>
                      <wps:bodyPr anchor="ctr">
                        <a:prstTxWarp prst="textNoShape"/>
                        <a:noAutofit/>
                      </wps:bodyPr>
                    </wps:wsp>
                  </a:graphicData>
                </a:graphic>
              </wp:anchor>
            </w:drawing>
          </mc:Choice>
          <mc:Fallback>
            <w:pict>
              <v:rect id="shape_0" ID="Rectangle 35" fillcolor="#002041" stroked="f" style="position:absolute;margin-left:-17.15pt;margin-top:35.25pt;width:83.85pt;height:26.55pt" wp14:anchorId="16942BC1">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rPr>
                        <w:t>Aluminum</w:t>
                      </w:r>
                    </w:p>
                  </w:txbxContent>
                </v:textbox>
              </v:rect>
            </w:pict>
          </mc:Fallback>
        </mc:AlternateContent>
        <mc:AlternateContent>
          <mc:Choice Requires="wps">
            <w:drawing>
              <wp:anchor behindDoc="0" distT="0" distB="0" distL="114300" distR="114300" simplePos="0" locked="0" layoutInCell="1" allowOverlap="1" relativeHeight="17" wp14:anchorId="59D439D2">
                <wp:simplePos x="0" y="0"/>
                <wp:positionH relativeFrom="column">
                  <wp:posOffset>-220980</wp:posOffset>
                </wp:positionH>
                <wp:positionV relativeFrom="paragraph">
                  <wp:posOffset>408305</wp:posOffset>
                </wp:positionV>
                <wp:extent cx="6171565" cy="45720"/>
                <wp:effectExtent l="0" t="0" r="1270" b="5715"/>
                <wp:wrapSquare wrapText="bothSides"/>
                <wp:docPr id="26" name="Rectangle 37"/>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37" fillcolor="#002041" stroked="t" style="position:absolute;margin-left:-17.4pt;margin-top:32.15pt;width:485.85pt;height:3.5pt;flip:y" wp14:anchorId="59D439D2">
                <w10:wrap type="none"/>
                <v:fill o:detectmouseclick="t" type="solid" color2="#ffdfbe"/>
                <v:stroke color="#002041" weight="12600" joinstyle="miter" endcap="flat"/>
                <v:textbox>
                  <w:txbxContent>
                    <w:p>
                      <w:pPr>
                        <w:pStyle w:val="FrameContents"/>
                        <w:rPr/>
                      </w:pPr>
                      <w:r>
                        <w:rPr/>
                      </w:r>
                    </w:p>
                  </w:txbxContent>
                </v:textbox>
              </v:rect>
            </w:pict>
          </mc:Fallback>
        </mc:AlternateContent>
      </w:r>
      <w:r>
        <w:rPr>
          <w:rFonts w:ascii="Avenir Next" w:hAnsi="Avenir Next"/>
          <w:b/>
        </w:rPr>
        <w:t>Appendix V – Daily Metal Prices (US$/Metric Ton)</w:t>
      </w:r>
    </w:p>
    <w:p>
      <w:pPr>
        <w:pStyle w:val="Normal"/>
        <w:rPr>
          <w:rFonts w:ascii="Avenir Next" w:hAnsi="Avenir Next"/>
          <w:b/>
          <w:b/>
        </w:rPr>
      </w:pPr>
      <w:r>
        <w:rPr>
          <w:rFonts w:ascii="Avenir Next" w:hAnsi="Avenir Next"/>
          <w:b/>
        </w:rPr>
      </w:r>
    </w:p>
    <w:p>
      <w:pPr>
        <w:pStyle w:val="Normal"/>
        <w:rPr>
          <w:rFonts w:ascii="Avenir Next" w:hAnsi="Avenir Next"/>
          <w:b/>
          <w:b/>
        </w:rPr>
      </w:pPr>
      <w:r>
        <w:rPr>
          <w:rFonts w:ascii="Avenir Next" w:hAnsi="Avenir Next"/>
          <w:b/>
        </w:rPr>
      </w:r>
    </w:p>
    <w:tbl>
      <w:tblPr>
        <w:tblStyle w:val="TableGrid"/>
        <w:tblW w:w="9300" w:type="dxa"/>
        <w:jc w:val="left"/>
        <w:tblInd w:w="0" w:type="dxa"/>
        <w:tblCellMar>
          <w:top w:w="0" w:type="dxa"/>
          <w:left w:w="108" w:type="dxa"/>
          <w:bottom w:w="0" w:type="dxa"/>
          <w:right w:w="108" w:type="dxa"/>
        </w:tblCellMar>
        <w:tblLook w:firstRow="1" w:noVBand="1" w:lastRow="0" w:firstColumn="1" w:lastColumn="0" w:noHBand="0" w:val="04a0"/>
      </w:tblPr>
      <w:tblGrid>
        <w:gridCol w:w="2399"/>
        <w:gridCol w:w="2300"/>
        <w:gridCol w:w="2300"/>
        <w:gridCol w:w="2300"/>
      </w:tblGrid>
      <w:tr>
        <w:trPr>
          <w:trHeight w:val="643" w:hRule="atLeast"/>
        </w:trPr>
        <w:tc>
          <w:tcPr>
            <w:tcW w:w="239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Date</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Aluminium Cash-Settlement</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Aluminium 3-month</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Aluminium stock</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31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1.919,50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1.919,00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1.473.925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30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1.943,50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1.943,50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1.487.700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1.950,00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1.953,50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1.496.450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1.944,00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1.944,00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1.480.025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1.926,00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1.930,00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1.489.325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1.943,00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1.941,50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1.495.350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1.938,00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1.938,00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1.506.700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1.905,00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1.906,00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1.515.400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17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1.928,00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1.926,00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1.526.800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1.915,00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1.912,50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1.536.275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1.899,50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1.905,00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1.545.025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1.880,00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1.884,00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1.556.150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1.887,00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1.890,00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1.564.800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1.870,00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1.875,00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1.570.575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1.874,00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1.880,00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1.577.800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1.879,00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1.884,00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1.592.300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1.907,00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1.914,00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1.599.725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1.909,50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1.916,50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2"/>
              </w:rPr>
              <w:t>1.609.925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cs="Calibri"/>
                <w:b/>
                <w:b/>
                <w:color w:val="000000"/>
                <w:sz w:val="20"/>
                <w:szCs w:val="20"/>
              </w:rPr>
            </w:pPr>
            <w:r>
              <w:rPr>
                <w:rFonts w:cs="Calibri" w:ascii="Avenir Next" w:hAnsi="Avenir Next"/>
                <w:b/>
                <w:color w:val="000000"/>
                <w:sz w:val="20"/>
                <w:szCs w:val="22"/>
              </w:rPr>
              <w:t>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2"/>
              </w:rPr>
              <w:t>1.916,00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2"/>
              </w:rPr>
              <w:t>1.922,50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2"/>
              </w:rPr>
              <w:t>1.617.100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cs="Calibri"/>
                <w:b/>
                <w:b/>
                <w:color w:val="000000"/>
                <w:sz w:val="20"/>
                <w:szCs w:val="20"/>
              </w:rPr>
            </w:pPr>
            <w:r>
              <w:rPr>
                <w:rFonts w:cs="Calibri" w:ascii="Avenir Next" w:hAnsi="Avenir Next"/>
                <w:b/>
                <w:color w:val="000000"/>
                <w:sz w:val="20"/>
                <w:szCs w:val="22"/>
              </w:rPr>
              <w:t>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2"/>
              </w:rPr>
              <w:t>1.909,00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2"/>
              </w:rPr>
              <w:t>1.917,50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2"/>
              </w:rPr>
              <w:t>1.633.325</w:t>
            </w:r>
          </w:p>
        </w:tc>
      </w:tr>
    </w:tbl>
    <w:p>
      <w:pPr>
        <w:pStyle w:val="Normal"/>
        <w:ind w:left="-284" w:hanging="0"/>
        <w:rPr>
          <w:rFonts w:ascii="Avenir Next" w:hAnsi="Avenir Next"/>
          <w:b/>
          <w:b/>
        </w:rPr>
      </w:pPr>
      <w:r>
        <w:rPr>
          <w:rFonts w:ascii="Avenir Next" w:hAnsi="Avenir Next"/>
          <w:b/>
        </w:rPr>
        <mc:AlternateContent>
          <mc:Choice Requires="wps">
            <w:drawing>
              <wp:anchor behindDoc="0" distT="0" distB="0" distL="114300" distR="114300" simplePos="0" locked="0" layoutInCell="1" allowOverlap="1" relativeHeight="18" wp14:anchorId="4B694A85">
                <wp:simplePos x="0" y="0"/>
                <wp:positionH relativeFrom="column">
                  <wp:posOffset>-217805</wp:posOffset>
                </wp:positionH>
                <wp:positionV relativeFrom="paragraph">
                  <wp:posOffset>405765</wp:posOffset>
                </wp:positionV>
                <wp:extent cx="1066165" cy="342265"/>
                <wp:effectExtent l="0" t="0" r="1270" b="0"/>
                <wp:wrapSquare wrapText="bothSides"/>
                <wp:docPr id="28" name="Rectangle 38"/>
                <a:graphic xmlns:a="http://schemas.openxmlformats.org/drawingml/2006/main">
                  <a:graphicData uri="http://schemas.microsoft.com/office/word/2010/wordprocessingShape">
                    <wps:wsp>
                      <wps:cNvSpPr/>
                      <wps:spPr>
                        <a:xfrm>
                          <a:off x="0" y="0"/>
                          <a:ext cx="1065600" cy="34164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rPr>
                              <w:t>Copper</w:t>
                            </w:r>
                          </w:p>
                        </w:txbxContent>
                      </wps:txbx>
                      <wps:bodyPr anchor="ctr">
                        <a:prstTxWarp prst="textNoShape"/>
                        <a:noAutofit/>
                      </wps:bodyPr>
                    </wps:wsp>
                  </a:graphicData>
                </a:graphic>
              </wp:anchor>
            </w:drawing>
          </mc:Choice>
          <mc:Fallback>
            <w:pict>
              <v:rect id="shape_0" ID="Rectangle 38" fillcolor="#002041" stroked="f" style="position:absolute;margin-left:-17.15pt;margin-top:31.95pt;width:83.85pt;height:26.85pt" wp14:anchorId="4B694A85">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rPr>
                        <w:t>Copper</w:t>
                      </w:r>
                    </w:p>
                  </w:txbxContent>
                </v:textbox>
              </v:rect>
            </w:pict>
          </mc:Fallback>
        </mc:AlternateContent>
        <mc:AlternateContent>
          <mc:Choice Requires="wps">
            <w:drawing>
              <wp:anchor behindDoc="0" distT="0" distB="0" distL="114300" distR="114300" simplePos="0" locked="0" layoutInCell="1" allowOverlap="1" relativeHeight="19" wp14:anchorId="7E232DBB">
                <wp:simplePos x="0" y="0"/>
                <wp:positionH relativeFrom="column">
                  <wp:posOffset>-220345</wp:posOffset>
                </wp:positionH>
                <wp:positionV relativeFrom="paragraph">
                  <wp:posOffset>368300</wp:posOffset>
                </wp:positionV>
                <wp:extent cx="6171565" cy="45720"/>
                <wp:effectExtent l="0" t="0" r="1270" b="5715"/>
                <wp:wrapSquare wrapText="bothSides"/>
                <wp:docPr id="30" name="Rectangle 39"/>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39" fillcolor="#002041" stroked="t" style="position:absolute;margin-left:-17.35pt;margin-top:29pt;width:485.85pt;height:3.5pt;flip:y" wp14:anchorId="7E232DBB">
                <w10:wrap type="none"/>
                <v:fill o:detectmouseclick="t" type="solid" color2="#ffdfbe"/>
                <v:stroke color="#002041" weight="12600" joinstyle="miter" endcap="flat"/>
                <v:textbox>
                  <w:txbxContent>
                    <w:p>
                      <w:pPr>
                        <w:pStyle w:val="FrameContents"/>
                        <w:rPr/>
                      </w:pPr>
                      <w:r>
                        <w:rPr/>
                      </w:r>
                    </w:p>
                  </w:txbxContent>
                </v:textbox>
              </v:rect>
            </w:pict>
          </mc:Fallback>
        </mc:AlternateContent>
      </w:r>
    </w:p>
    <w:p>
      <w:pPr>
        <w:pStyle w:val="Normal"/>
        <w:ind w:left="-284" w:hanging="0"/>
        <w:rPr>
          <w:rFonts w:ascii="Avenir Next" w:hAnsi="Avenir Next"/>
          <w:b/>
          <w:b/>
          <w:color w:val="002041"/>
        </w:rPr>
      </w:pPr>
      <w:r>
        <w:rPr>
          <w:rFonts w:ascii="Avenir Next" w:hAnsi="Avenir Next"/>
          <w:b/>
          <w:color w:val="002041"/>
        </w:rPr>
      </w:r>
    </w:p>
    <w:tbl>
      <w:tblPr>
        <w:tblStyle w:val="TableGrid"/>
        <w:tblW w:w="9300" w:type="dxa"/>
        <w:jc w:val="left"/>
        <w:tblInd w:w="0" w:type="dxa"/>
        <w:tblCellMar>
          <w:top w:w="0" w:type="dxa"/>
          <w:left w:w="108" w:type="dxa"/>
          <w:bottom w:w="0" w:type="dxa"/>
          <w:right w:w="108" w:type="dxa"/>
        </w:tblCellMar>
        <w:tblLook w:firstRow="1" w:noVBand="1" w:lastRow="0" w:firstColumn="1" w:lastColumn="0" w:noHBand="0" w:val="04a0"/>
      </w:tblPr>
      <w:tblGrid>
        <w:gridCol w:w="2399"/>
        <w:gridCol w:w="2300"/>
        <w:gridCol w:w="2300"/>
        <w:gridCol w:w="2300"/>
      </w:tblGrid>
      <w:tr>
        <w:trPr>
          <w:trHeight w:val="600" w:hRule="atLeast"/>
        </w:trPr>
        <w:tc>
          <w:tcPr>
            <w:tcW w:w="239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Date</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LME Copper Cash-Settlement</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LME Copper 3-month</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LME Copper stock</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31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5.615,50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5.640,00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311.15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30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5.608,00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5.630,00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315.2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26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5.671,00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5.689,00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318.65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24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5.662,50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5.680,00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325.675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23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5.660,50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5.684,00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329.875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22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5.677,00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5.695,50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332.3</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5.596,00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5.617,50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336.65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5.490,00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5.508,00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340.35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17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5.575,00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5.597,00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339.6</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5.584,00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5.594,00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322.5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5.586,00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5.612,00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325.15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5.520,00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5.541,00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329.375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5.580,50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5.603,00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336.725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10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5.512,00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5.537,50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339.2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b/>
                <w:color w:val="000000"/>
                <w:sz w:val="20"/>
                <w:szCs w:val="22"/>
              </w:rPr>
              <w:t>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5.496,00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5.520,00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342.825</w:t>
            </w:r>
          </w:p>
        </w:tc>
      </w:tr>
    </w:tbl>
    <w:p>
      <w:pPr>
        <w:pStyle w:val="Normal"/>
        <w:rPr>
          <w:rFonts w:ascii="Avenir Next" w:hAnsi="Avenir Next"/>
          <w:b/>
          <w:b/>
        </w:rPr>
      </w:pPr>
      <w:r>
        <w:rPr>
          <w:rFonts w:ascii="Avenir Next" w:hAnsi="Avenir Next"/>
          <w:b/>
        </w:rPr>
        <mc:AlternateContent>
          <mc:Choice Requires="wps">
            <w:drawing>
              <wp:anchor behindDoc="0" distT="0" distB="0" distL="114300" distR="114300" simplePos="0" locked="0" layoutInCell="1" allowOverlap="1" relativeHeight="25" wp14:anchorId="429761D2">
                <wp:simplePos x="0" y="0"/>
                <wp:positionH relativeFrom="column">
                  <wp:posOffset>-217805</wp:posOffset>
                </wp:positionH>
                <wp:positionV relativeFrom="paragraph">
                  <wp:posOffset>405765</wp:posOffset>
                </wp:positionV>
                <wp:extent cx="1066165" cy="342265"/>
                <wp:effectExtent l="0" t="0" r="1270" b="0"/>
                <wp:wrapSquare wrapText="bothSides"/>
                <wp:docPr id="32" name="Rectangle 21"/>
                <a:graphic xmlns:a="http://schemas.openxmlformats.org/drawingml/2006/main">
                  <a:graphicData uri="http://schemas.microsoft.com/office/word/2010/wordprocessingShape">
                    <wps:wsp>
                      <wps:cNvSpPr/>
                      <wps:spPr>
                        <a:xfrm>
                          <a:off x="0" y="0"/>
                          <a:ext cx="1065600" cy="34164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rPr>
                              <w:t>Copper</w:t>
                            </w:r>
                          </w:p>
                        </w:txbxContent>
                      </wps:txbx>
                      <wps:bodyPr anchor="ctr">
                        <a:prstTxWarp prst="textNoShape"/>
                        <a:noAutofit/>
                      </wps:bodyPr>
                    </wps:wsp>
                  </a:graphicData>
                </a:graphic>
              </wp:anchor>
            </w:drawing>
          </mc:Choice>
          <mc:Fallback>
            <w:pict>
              <v:rect id="shape_0" ID="Rectangle 21" fillcolor="#002041" stroked="f" style="position:absolute;margin-left:-17.15pt;margin-top:31.95pt;width:83.85pt;height:26.85pt" wp14:anchorId="429761D2">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rPr>
                        <w:t>Copper</w:t>
                      </w:r>
                    </w:p>
                  </w:txbxContent>
                </v:textbox>
              </v:rect>
            </w:pict>
          </mc:Fallback>
        </mc:AlternateContent>
        <mc:AlternateContent>
          <mc:Choice Requires="wps">
            <w:drawing>
              <wp:anchor behindDoc="0" distT="0" distB="0" distL="114300" distR="114300" simplePos="0" locked="0" layoutInCell="1" allowOverlap="1" relativeHeight="26" wp14:anchorId="78D57666">
                <wp:simplePos x="0" y="0"/>
                <wp:positionH relativeFrom="column">
                  <wp:posOffset>-220345</wp:posOffset>
                </wp:positionH>
                <wp:positionV relativeFrom="paragraph">
                  <wp:posOffset>368300</wp:posOffset>
                </wp:positionV>
                <wp:extent cx="6171565" cy="45720"/>
                <wp:effectExtent l="0" t="0" r="1270" b="5715"/>
                <wp:wrapSquare wrapText="bothSides"/>
                <wp:docPr id="34" name="Rectangle 23"/>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23" fillcolor="#002041" stroked="t" style="position:absolute;margin-left:-17.35pt;margin-top:29pt;width:485.85pt;height:3.5pt;flip:y" wp14:anchorId="78D57666">
                <w10:wrap type="none"/>
                <v:fill o:detectmouseclick="t" type="solid" color2="#ffdfbe"/>
                <v:stroke color="#002041" weight="12600" joinstyle="miter" endcap="flat"/>
                <v:textbox>
                  <w:txbxContent>
                    <w:p>
                      <w:pPr>
                        <w:pStyle w:val="FrameContents"/>
                        <w:rPr/>
                      </w:pPr>
                      <w:r>
                        <w:rPr/>
                      </w:r>
                    </w:p>
                  </w:txbxContent>
                </v:textbox>
              </v:rect>
            </w:pict>
          </mc:Fallback>
        </mc:AlternateContent>
      </w:r>
    </w:p>
    <w:tbl>
      <w:tblPr>
        <w:tblStyle w:val="TableGrid"/>
        <w:tblW w:w="9300" w:type="dxa"/>
        <w:jc w:val="left"/>
        <w:tblInd w:w="0" w:type="dxa"/>
        <w:tblCellMar>
          <w:top w:w="0" w:type="dxa"/>
          <w:left w:w="108" w:type="dxa"/>
          <w:bottom w:w="0" w:type="dxa"/>
          <w:right w:w="108" w:type="dxa"/>
        </w:tblCellMar>
        <w:tblLook w:firstRow="1" w:noVBand="1" w:lastRow="0" w:firstColumn="1" w:lastColumn="0" w:noHBand="0" w:val="04a0"/>
      </w:tblPr>
      <w:tblGrid>
        <w:gridCol w:w="2399"/>
        <w:gridCol w:w="2300"/>
        <w:gridCol w:w="2300"/>
        <w:gridCol w:w="2300"/>
      </w:tblGrid>
      <w:tr>
        <w:trPr>
          <w:trHeight w:val="600" w:hRule="atLeast"/>
        </w:trPr>
        <w:tc>
          <w:tcPr>
            <w:tcW w:w="239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Date</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LME Copper Cash-Settlement</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LME Copper 3-month</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1"/>
                <w:szCs w:val="20"/>
                <w:lang w:val="en-GB"/>
              </w:rPr>
            </w:pPr>
            <w:r>
              <w:rPr>
                <w:rFonts w:eastAsia="Times New Roman" w:ascii="Avenir Next" w:hAnsi="Avenir Next"/>
                <w:b/>
                <w:caps/>
                <w:color w:val="FFFFFF" w:themeColor="background1"/>
                <w:sz w:val="21"/>
                <w:szCs w:val="20"/>
                <w:lang w:val="en-GB"/>
              </w:rPr>
              <w:t>LME Copper stock</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20"/>
              <w:rPr>
                <w:rFonts w:ascii="Avenir Next" w:hAnsi="Avenir Next" w:eastAsia="Times New Roman"/>
                <w:b/>
                <w:b/>
                <w:bCs/>
                <w:caps/>
                <w:color w:val="000000"/>
                <w:sz w:val="20"/>
                <w:szCs w:val="20"/>
                <w:lang w:val="en-GB"/>
              </w:rPr>
            </w:pPr>
            <w:r>
              <w:rPr>
                <w:rFonts w:cs="Calibri"/>
                <w:b/>
                <w:color w:val="000000"/>
                <w:sz w:val="22"/>
                <w:szCs w:val="22"/>
              </w:rPr>
              <w:t>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5.466,00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5.491,00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351.55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20"/>
              <w:rPr>
                <w:rFonts w:ascii="Avenir Next" w:hAnsi="Avenir Next" w:eastAsia="Times New Roman"/>
                <w:b/>
                <w:b/>
                <w:bCs/>
                <w:caps/>
                <w:color w:val="000000"/>
                <w:sz w:val="20"/>
                <w:szCs w:val="20"/>
                <w:lang w:val="en-GB"/>
              </w:rPr>
            </w:pPr>
            <w:r>
              <w:rPr>
                <w:rFonts w:cs="Calibri"/>
                <w:b/>
                <w:color w:val="000000"/>
                <w:sz w:val="22"/>
                <w:szCs w:val="22"/>
              </w:rPr>
              <w:t>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5.530,50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5.560,00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eastAsia="Times New Roman"/>
                <w:color w:val="000000"/>
                <w:sz w:val="20"/>
                <w:szCs w:val="20"/>
                <w:lang w:val="en-GB"/>
              </w:rPr>
            </w:pPr>
            <w:r>
              <w:rPr>
                <w:rFonts w:cs="Calibri"/>
                <w:color w:val="000000"/>
                <w:sz w:val="20"/>
                <w:szCs w:val="22"/>
              </w:rPr>
              <w:t>354.65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20"/>
              <w:rPr>
                <w:rFonts w:ascii="Avenir Next" w:hAnsi="Avenir Next" w:eastAsia="Times New Roman"/>
                <w:b/>
                <w:b/>
                <w:bCs/>
                <w:caps/>
                <w:color w:val="000000"/>
                <w:sz w:val="20"/>
                <w:szCs w:val="20"/>
                <w:lang w:val="en-GB"/>
              </w:rPr>
            </w:pPr>
            <w:r>
              <w:rPr>
                <w:rFonts w:cs="Calibri"/>
                <w:b/>
                <w:color w:val="000000"/>
                <w:sz w:val="22"/>
                <w:szCs w:val="22"/>
              </w:rPr>
              <w:t>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5.543,00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5.570,00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cs="Calibri"/>
                <w:color w:val="000000"/>
                <w:sz w:val="20"/>
                <w:szCs w:val="20"/>
              </w:rPr>
            </w:pPr>
            <w:r>
              <w:rPr>
                <w:rFonts w:cs="Calibri"/>
                <w:color w:val="000000"/>
                <w:sz w:val="20"/>
                <w:szCs w:val="22"/>
              </w:rPr>
              <w:t>317.85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20"/>
              <w:rPr>
                <w:rFonts w:ascii="Avenir Next" w:hAnsi="Avenir Next" w:eastAsia="Times New Roman"/>
                <w:b/>
                <w:b/>
                <w:bCs/>
                <w:caps/>
                <w:color w:val="000000"/>
                <w:sz w:val="20"/>
                <w:szCs w:val="20"/>
                <w:lang w:val="en-GB"/>
              </w:rPr>
            </w:pPr>
            <w:r>
              <w:rPr>
                <w:rFonts w:cs="Calibri"/>
                <w:b/>
                <w:color w:val="000000"/>
                <w:sz w:val="22"/>
                <w:szCs w:val="22"/>
              </w:rPr>
              <w:t>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5.636,50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5.665,00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cs="Calibri"/>
                <w:color w:val="000000"/>
                <w:sz w:val="20"/>
                <w:szCs w:val="20"/>
              </w:rPr>
            </w:pPr>
            <w:r>
              <w:rPr>
                <w:rFonts w:cs="Calibri"/>
                <w:color w:val="000000"/>
                <w:sz w:val="20"/>
                <w:szCs w:val="22"/>
              </w:rPr>
              <w:t>284.925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20"/>
              <w:rPr>
                <w:rFonts w:ascii="Avenir Next" w:hAnsi="Avenir Next" w:eastAsia="Times New Roman"/>
                <w:b/>
                <w:b/>
                <w:bCs/>
                <w:caps/>
                <w:color w:val="000000"/>
                <w:sz w:val="20"/>
                <w:szCs w:val="20"/>
                <w:lang w:val="en-GB"/>
              </w:rPr>
            </w:pPr>
            <w:r>
              <w:rPr>
                <w:rFonts w:cs="Calibri"/>
                <w:b/>
                <w:color w:val="000000"/>
                <w:sz w:val="22"/>
                <w:szCs w:val="22"/>
              </w:rPr>
              <w:t>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5.746,50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5.780,00</w:t>
            </w:r>
          </w:p>
        </w:tc>
        <w:tc>
          <w:tcPr>
            <w:tcW w:w="2300" w:type="dxa"/>
            <w:tcBorders>
              <w:top w:val="nil"/>
              <w:left w:val="nil"/>
              <w:bottom w:val="nil"/>
              <w:right w:val="nil"/>
              <w:insideH w:val="nil"/>
              <w:insideV w:val="nil"/>
            </w:tcBorders>
            <w:shd w:fill="auto" w:val="clear"/>
          </w:tcPr>
          <w:p>
            <w:pPr>
              <w:pStyle w:val="Normal"/>
              <w:ind w:right="260" w:firstLine="200"/>
              <w:jc w:val="right"/>
              <w:rPr>
                <w:rFonts w:ascii="Avenir Next" w:hAnsi="Avenir Next" w:cs="Calibri"/>
                <w:color w:val="000000"/>
                <w:sz w:val="20"/>
                <w:szCs w:val="20"/>
              </w:rPr>
            </w:pPr>
            <w:r>
              <w:rPr>
                <w:rFonts w:cs="Calibri"/>
                <w:color w:val="000000"/>
                <w:sz w:val="20"/>
                <w:szCs w:val="22"/>
              </w:rPr>
              <w:t>253.675</w:t>
            </w:r>
          </w:p>
        </w:tc>
      </w:tr>
    </w:tbl>
    <w:p>
      <w:pPr>
        <w:pStyle w:val="Normal"/>
        <w:rPr/>
      </w:pPr>
      <w:r>
        <w:rPr/>
        <mc:AlternateContent>
          <mc:Choice Requires="wps">
            <w:drawing>
              <wp:anchor behindDoc="1" distT="0" distB="0" distL="114300" distR="114300" simplePos="0" locked="0" layoutInCell="1" allowOverlap="1" relativeHeight="20" wp14:anchorId="22F427A3">
                <wp:simplePos x="0" y="0"/>
                <wp:positionH relativeFrom="column">
                  <wp:posOffset>-215265</wp:posOffset>
                </wp:positionH>
                <wp:positionV relativeFrom="paragraph">
                  <wp:posOffset>304800</wp:posOffset>
                </wp:positionV>
                <wp:extent cx="1066165" cy="385445"/>
                <wp:effectExtent l="0" t="0" r="1270" b="0"/>
                <wp:wrapTight wrapText="bothSides">
                  <wp:wrapPolygon edited="0">
                    <wp:start x="0" y="0"/>
                    <wp:lineTo x="0" y="20317"/>
                    <wp:lineTo x="21240" y="20317"/>
                    <wp:lineTo x="21240" y="0"/>
                    <wp:lineTo x="0" y="0"/>
                  </wp:wrapPolygon>
                </wp:wrapTight>
                <wp:docPr id="36" name="Rectangle 40"/>
                <a:graphic xmlns:a="http://schemas.openxmlformats.org/drawingml/2006/main">
                  <a:graphicData uri="http://schemas.microsoft.com/office/word/2010/wordprocessingShape">
                    <wps:wsp>
                      <wps:cNvSpPr/>
                      <wps:spPr>
                        <a:xfrm>
                          <a:off x="0" y="0"/>
                          <a:ext cx="1065600" cy="38484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rPr>
                              <w:t>Gold</w:t>
                            </w:r>
                          </w:p>
                        </w:txbxContent>
                      </wps:txbx>
                      <wps:bodyPr anchor="ctr">
                        <a:prstTxWarp prst="textNoShape"/>
                        <a:noAutofit/>
                      </wps:bodyPr>
                    </wps:wsp>
                  </a:graphicData>
                </a:graphic>
              </wp:anchor>
            </w:drawing>
          </mc:Choice>
          <mc:Fallback>
            <w:pict>
              <v:rect id="shape_0" ID="Rectangle 40" fillcolor="#002041" stroked="f" style="position:absolute;margin-left:-16.95pt;margin-top:24pt;width:83.85pt;height:30.25pt" wp14:anchorId="22F427A3">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rPr>
                        <w:t>Gold</w:t>
                      </w:r>
                    </w:p>
                  </w:txbxContent>
                </v:textbox>
              </v:rect>
            </w:pict>
          </mc:Fallback>
        </mc:AlternateContent>
        <mc:AlternateContent>
          <mc:Choice Requires="wps">
            <w:drawing>
              <wp:anchor behindDoc="0" distT="0" distB="0" distL="114300" distR="113665" simplePos="0" locked="0" layoutInCell="1" allowOverlap="1" relativeHeight="21" wp14:anchorId="4B36F98B">
                <wp:simplePos x="0" y="0"/>
                <wp:positionH relativeFrom="column">
                  <wp:posOffset>-215900</wp:posOffset>
                </wp:positionH>
                <wp:positionV relativeFrom="paragraph">
                  <wp:posOffset>259080</wp:posOffset>
                </wp:positionV>
                <wp:extent cx="6171565" cy="45720"/>
                <wp:effectExtent l="0" t="0" r="20320" b="12065"/>
                <wp:wrapSquare wrapText="bothSides"/>
                <wp:docPr id="38" name="Rectangle 41"/>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41" fillcolor="#002041" stroked="t" style="position:absolute;margin-left:-17pt;margin-top:20.4pt;width:485.85pt;height:3.5pt;flip:y" wp14:anchorId="4B36F98B">
                <w10:wrap type="none"/>
                <v:fill o:detectmouseclick="t" type="solid" color2="#ffdfbe"/>
                <v:stroke color="#002041" weight="12600" joinstyle="miter" endcap="flat"/>
                <v:textbox>
                  <w:txbxContent>
                    <w:p>
                      <w:pPr>
                        <w:pStyle w:val="FrameContents"/>
                        <w:rPr/>
                      </w:pPr>
                      <w:r>
                        <w:rPr/>
                      </w:r>
                    </w:p>
                  </w:txbxContent>
                </v:textbox>
              </v:rect>
            </w:pict>
          </mc:Fallback>
        </mc:AlternateContent>
      </w:r>
    </w:p>
    <w:p>
      <w:pPr>
        <w:pStyle w:val="Normal"/>
        <w:rPr/>
      </w:pPr>
      <w:r>
        <w:rPr/>
      </w:r>
    </w:p>
    <w:p>
      <w:pPr>
        <w:pStyle w:val="Normal"/>
        <w:rPr/>
      </w:pPr>
      <w:r>
        <w:rPr/>
      </w:r>
    </w:p>
    <w:tbl>
      <w:tblPr>
        <w:tblStyle w:val="TableGrid"/>
        <w:tblW w:w="4700" w:type="dxa"/>
        <w:jc w:val="left"/>
        <w:tblInd w:w="0" w:type="dxa"/>
        <w:tblCellMar>
          <w:top w:w="0" w:type="dxa"/>
          <w:left w:w="108" w:type="dxa"/>
          <w:bottom w:w="0" w:type="dxa"/>
          <w:right w:w="108" w:type="dxa"/>
        </w:tblCellMar>
        <w:tblLook w:firstRow="1" w:noVBand="1" w:lastRow="0" w:firstColumn="1" w:lastColumn="0" w:noHBand="0" w:val="04a0"/>
      </w:tblPr>
      <w:tblGrid>
        <w:gridCol w:w="2399"/>
        <w:gridCol w:w="2300"/>
      </w:tblGrid>
      <w:tr>
        <w:trPr>
          <w:trHeight w:val="600" w:hRule="atLeast"/>
        </w:trPr>
        <w:tc>
          <w:tcPr>
            <w:tcW w:w="239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caps/>
                <w:color w:val="FFFFFF" w:themeColor="background1"/>
                <w:sz w:val="20"/>
                <w:szCs w:val="20"/>
                <w:lang w:val="en-GB"/>
              </w:rPr>
              <w:t>Date</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caps/>
                <w:color w:val="FFFFFF" w:themeColor="background1"/>
                <w:sz w:val="20"/>
                <w:szCs w:val="20"/>
                <w:lang w:val="en-GB"/>
              </w:rPr>
              <w:t>Gold London Fixing</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31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1.263,80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30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1.262,80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1.265,00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1.251,35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1.259,90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1.255,25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1.251,85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1.261,35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17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1.244,60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1.234,05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1.231,50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1.227,90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1.221,00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1.222,95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1.225,15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1.229,70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1.239,40</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1.235,85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1.253,95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1.255,80</w:t>
            </w:r>
          </w:p>
        </w:tc>
      </w:tr>
    </w:tbl>
    <w:p>
      <w:pPr>
        <w:pStyle w:val="Normal"/>
        <w:rPr/>
      </w:pPr>
      <w:r>
        <w:rPr/>
        <mc:AlternateContent>
          <mc:Choice Requires="wps">
            <w:drawing>
              <wp:anchor behindDoc="0" distT="0" distB="0" distL="114300" distR="114300" simplePos="0" locked="0" layoutInCell="1" allowOverlap="1" relativeHeight="22" wp14:anchorId="1800C7ED">
                <wp:simplePos x="0" y="0"/>
                <wp:positionH relativeFrom="column">
                  <wp:posOffset>-215265</wp:posOffset>
                </wp:positionH>
                <wp:positionV relativeFrom="paragraph">
                  <wp:posOffset>374015</wp:posOffset>
                </wp:positionV>
                <wp:extent cx="1066165" cy="377825"/>
                <wp:effectExtent l="0" t="0" r="1270" b="3810"/>
                <wp:wrapSquare wrapText="bothSides"/>
                <wp:docPr id="40" name="Rectangle 44"/>
                <a:graphic xmlns:a="http://schemas.openxmlformats.org/drawingml/2006/main">
                  <a:graphicData uri="http://schemas.microsoft.com/office/word/2010/wordprocessingShape">
                    <wps:wsp>
                      <wps:cNvSpPr/>
                      <wps:spPr>
                        <a:xfrm>
                          <a:off x="0" y="0"/>
                          <a:ext cx="1065600" cy="37728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rPr>
                              <w:t>Nickel</w:t>
                            </w:r>
                          </w:p>
                        </w:txbxContent>
                      </wps:txbx>
                      <wps:bodyPr anchor="ctr">
                        <a:prstTxWarp prst="textNoShape"/>
                        <a:noAutofit/>
                      </wps:bodyPr>
                    </wps:wsp>
                  </a:graphicData>
                </a:graphic>
              </wp:anchor>
            </w:drawing>
          </mc:Choice>
          <mc:Fallback>
            <w:pict>
              <v:rect id="shape_0" ID="Rectangle 44" fillcolor="#002041" stroked="f" style="position:absolute;margin-left:-16.95pt;margin-top:29.45pt;width:83.85pt;height:29.65pt" wp14:anchorId="1800C7ED">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rPr>
                        <w:t>Nickel</w:t>
                      </w:r>
                    </w:p>
                  </w:txbxContent>
                </v:textbox>
              </v:rect>
            </w:pict>
          </mc:Fallback>
        </mc:AlternateContent>
        <mc:AlternateContent>
          <mc:Choice Requires="wps">
            <w:drawing>
              <wp:anchor behindDoc="0" distT="0" distB="0" distL="114300" distR="114300" simplePos="0" locked="0" layoutInCell="1" allowOverlap="1" relativeHeight="23" wp14:anchorId="0C1CDC67">
                <wp:simplePos x="0" y="0"/>
                <wp:positionH relativeFrom="column">
                  <wp:posOffset>-215900</wp:posOffset>
                </wp:positionH>
                <wp:positionV relativeFrom="paragraph">
                  <wp:posOffset>328295</wp:posOffset>
                </wp:positionV>
                <wp:extent cx="6171565" cy="45720"/>
                <wp:effectExtent l="0" t="0" r="1270" b="5715"/>
                <wp:wrapSquare wrapText="bothSides"/>
                <wp:docPr id="42" name="Rectangle 45"/>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45" fillcolor="#002041" stroked="t" style="position:absolute;margin-left:-17pt;margin-top:25.85pt;width:485.85pt;height:3.5pt;flip:y" wp14:anchorId="0C1CDC67">
                <w10:wrap type="none"/>
                <v:fill o:detectmouseclick="t" type="solid" color2="#ffdfbe"/>
                <v:stroke color="#002041" weight="12600" joinstyle="miter" endcap="flat"/>
                <v:textbox>
                  <w:txbxContent>
                    <w:p>
                      <w:pPr>
                        <w:pStyle w:val="FrameContents"/>
                        <w:rPr/>
                      </w:pPr>
                      <w:r>
                        <w:rPr/>
                      </w:r>
                    </w:p>
                  </w:txbxContent>
                </v:textbox>
              </v:rect>
            </w:pict>
          </mc:Fallback>
        </mc:AlternateContent>
      </w:r>
    </w:p>
    <w:p>
      <w:pPr>
        <w:pStyle w:val="Normal"/>
        <w:ind w:left="-284" w:hanging="0"/>
        <w:rPr/>
      </w:pPr>
      <w:r>
        <w:rPr/>
      </w:r>
    </w:p>
    <w:p>
      <w:pPr>
        <w:pStyle w:val="Normal"/>
        <w:ind w:left="-284" w:hanging="0"/>
        <w:rPr/>
      </w:pPr>
      <w:r>
        <w:rPr/>
      </w:r>
    </w:p>
    <w:tbl>
      <w:tblPr>
        <w:tblStyle w:val="TableGrid"/>
        <w:tblW w:w="9300" w:type="dxa"/>
        <w:jc w:val="left"/>
        <w:tblInd w:w="0" w:type="dxa"/>
        <w:tblCellMar>
          <w:top w:w="0" w:type="dxa"/>
          <w:left w:w="108" w:type="dxa"/>
          <w:bottom w:w="0" w:type="dxa"/>
          <w:right w:w="108" w:type="dxa"/>
        </w:tblCellMar>
        <w:tblLook w:firstRow="1" w:noVBand="1" w:lastRow="0" w:firstColumn="1" w:lastColumn="0" w:noHBand="0" w:val="04a0"/>
      </w:tblPr>
      <w:tblGrid>
        <w:gridCol w:w="2399"/>
        <w:gridCol w:w="2300"/>
        <w:gridCol w:w="2300"/>
        <w:gridCol w:w="2300"/>
      </w:tblGrid>
      <w:tr>
        <w:trPr>
          <w:trHeight w:val="600" w:hRule="atLeast"/>
        </w:trPr>
        <w:tc>
          <w:tcPr>
            <w:tcW w:w="239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Date</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Nickel Cash-Settlement</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Nickel 3-month</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Nickel stock</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31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8.810,00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8.860,00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378.984</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30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9.025,00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9.070,00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380.292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9.005,00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9.045,00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382.104</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9.130,00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9.160,00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384.798</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9.290,00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9.340,00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bookmarkStart w:id="2" w:name="_Hlk481661270"/>
            <w:bookmarkEnd w:id="2"/>
            <w:r>
              <w:rPr>
                <w:rFonts w:cs="Calibri"/>
                <w:color w:val="000000"/>
                <w:sz w:val="20"/>
                <w:szCs w:val="22"/>
              </w:rPr>
              <w:t>378.414</w:t>
            </w:r>
          </w:p>
        </w:tc>
      </w:tr>
    </w:tbl>
    <w:p>
      <w:pPr>
        <w:pStyle w:val="Normal"/>
        <w:rPr/>
      </w:pPr>
      <w:r>
        <w:rPr/>
        <mc:AlternateContent>
          <mc:Choice Requires="wps">
            <w:drawing>
              <wp:anchor behindDoc="0" distT="0" distB="0" distL="114300" distR="114300" simplePos="0" locked="0" layoutInCell="1" allowOverlap="1" relativeHeight="27" wp14:anchorId="2DF6A224">
                <wp:simplePos x="0" y="0"/>
                <wp:positionH relativeFrom="column">
                  <wp:posOffset>0</wp:posOffset>
                </wp:positionH>
                <wp:positionV relativeFrom="paragraph">
                  <wp:posOffset>232410</wp:posOffset>
                </wp:positionV>
                <wp:extent cx="1066165" cy="377825"/>
                <wp:effectExtent l="0" t="0" r="1270" b="3810"/>
                <wp:wrapSquare wrapText="bothSides"/>
                <wp:docPr id="44" name="Rectangle 26"/>
                <a:graphic xmlns:a="http://schemas.openxmlformats.org/drawingml/2006/main">
                  <a:graphicData uri="http://schemas.microsoft.com/office/word/2010/wordprocessingShape">
                    <wps:wsp>
                      <wps:cNvSpPr/>
                      <wps:spPr>
                        <a:xfrm>
                          <a:off x="0" y="0"/>
                          <a:ext cx="1065600" cy="37728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rPr>
                              <w:t>Nickel</w:t>
                            </w:r>
                          </w:p>
                        </w:txbxContent>
                      </wps:txbx>
                      <wps:bodyPr anchor="ctr">
                        <a:prstTxWarp prst="textNoShape"/>
                        <a:noAutofit/>
                      </wps:bodyPr>
                    </wps:wsp>
                  </a:graphicData>
                </a:graphic>
              </wp:anchor>
            </w:drawing>
          </mc:Choice>
          <mc:Fallback>
            <w:pict>
              <v:rect id="shape_0" ID="Rectangle 26" fillcolor="#002041" stroked="f" style="position:absolute;margin-left:0pt;margin-top:18.3pt;width:83.85pt;height:29.65pt" wp14:anchorId="2DF6A224">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rPr>
                        <w:t>Nickel</w:t>
                      </w:r>
                    </w:p>
                  </w:txbxContent>
                </v:textbox>
              </v:rect>
            </w:pict>
          </mc:Fallback>
        </mc:AlternateContent>
        <mc:AlternateContent>
          <mc:Choice Requires="wps">
            <w:drawing>
              <wp:anchor behindDoc="0" distT="0" distB="0" distL="114300" distR="113665" simplePos="0" locked="0" layoutInCell="1" allowOverlap="1" relativeHeight="28" wp14:anchorId="2EBCD2A2">
                <wp:simplePos x="0" y="0"/>
                <wp:positionH relativeFrom="column">
                  <wp:posOffset>2540</wp:posOffset>
                </wp:positionH>
                <wp:positionV relativeFrom="paragraph">
                  <wp:posOffset>186690</wp:posOffset>
                </wp:positionV>
                <wp:extent cx="6171565" cy="45720"/>
                <wp:effectExtent l="0" t="0" r="20320" b="12065"/>
                <wp:wrapSquare wrapText="bothSides"/>
                <wp:docPr id="46" name="Rectangle 27"/>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27" fillcolor="#002041" stroked="t" style="position:absolute;margin-left:0.2pt;margin-top:14.7pt;width:485.85pt;height:3.5pt;flip:y" wp14:anchorId="2EBCD2A2">
                <w10:wrap type="none"/>
                <v:fill o:detectmouseclick="t" type="solid" color2="#ffdfbe"/>
                <v:stroke color="#002041" weight="12600" joinstyle="miter" endcap="flat"/>
                <v:textbox>
                  <w:txbxContent>
                    <w:p>
                      <w:pPr>
                        <w:pStyle w:val="FrameContents"/>
                        <w:rPr/>
                      </w:pPr>
                      <w:r>
                        <w:rPr/>
                      </w:r>
                    </w:p>
                  </w:txbxContent>
                </v:textbox>
              </v:rect>
            </w:pict>
          </mc:Fallback>
        </mc:AlternateContent>
      </w:r>
    </w:p>
    <w:p>
      <w:pPr>
        <w:pStyle w:val="Normal"/>
        <w:ind w:left="-284" w:hanging="0"/>
        <w:rPr/>
      </w:pPr>
      <w:r>
        <w:rPr/>
      </w:r>
    </w:p>
    <w:p>
      <w:pPr>
        <w:pStyle w:val="Normal"/>
        <w:ind w:left="-284" w:hanging="0"/>
        <w:rPr/>
      </w:pPr>
      <w:r>
        <w:rPr/>
      </w:r>
    </w:p>
    <w:tbl>
      <w:tblPr>
        <w:tblStyle w:val="TableGrid"/>
        <w:tblW w:w="9300" w:type="dxa"/>
        <w:jc w:val="left"/>
        <w:tblInd w:w="0" w:type="dxa"/>
        <w:tblCellMar>
          <w:top w:w="0" w:type="dxa"/>
          <w:left w:w="108" w:type="dxa"/>
          <w:bottom w:w="0" w:type="dxa"/>
          <w:right w:w="108" w:type="dxa"/>
        </w:tblCellMar>
        <w:tblLook w:firstRow="1" w:noVBand="1" w:lastRow="0" w:firstColumn="1" w:lastColumn="0" w:noHBand="0" w:val="04a0"/>
      </w:tblPr>
      <w:tblGrid>
        <w:gridCol w:w="2399"/>
        <w:gridCol w:w="2300"/>
        <w:gridCol w:w="2300"/>
        <w:gridCol w:w="2300"/>
      </w:tblGrid>
      <w:tr>
        <w:trPr>
          <w:trHeight w:val="600" w:hRule="atLeast"/>
        </w:trPr>
        <w:tc>
          <w:tcPr>
            <w:tcW w:w="239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Date</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Nickel Cash-Settlement</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Nickel 3-month</w:t>
            </w:r>
          </w:p>
        </w:tc>
        <w:tc>
          <w:tcPr>
            <w:tcW w:w="230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LME Nickel stock</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22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9.370,00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9.450,00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378.858</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9.180,00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9.205,00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378.894</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9.005,00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9.040,00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379.824</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17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9.165,00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9.200,00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380.34</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16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9.015,00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9.090,00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380.25</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9.310,00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9.345,00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379.638</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9.325,00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9.365,00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380.61</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eastAsia="Times New Roman"/>
                <w:b/>
                <w:b/>
                <w:bCs/>
                <w:caps/>
                <w:color w:val="000000"/>
                <w:sz w:val="20"/>
                <w:szCs w:val="20"/>
                <w:lang w:val="en-GB"/>
              </w:rPr>
            </w:pPr>
            <w:r>
              <w:rPr>
                <w:rFonts w:cs="Calibri" w:ascii="Avenir Next" w:hAnsi="Avenir Next"/>
                <w:b/>
                <w:color w:val="000000"/>
                <w:sz w:val="20"/>
                <w:szCs w:val="22"/>
              </w:rPr>
              <w:t>11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9.370,00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9.375,00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color w:val="000000"/>
                <w:sz w:val="20"/>
                <w:szCs w:val="22"/>
              </w:rPr>
              <w:t>381.834</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10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9.195,00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9.245,00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381.378</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9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9.190,00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9.230,00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380.718</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8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9.070,00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9.085,00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380.712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5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8.935,00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8.980,00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380.712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4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9.010,00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9.060,00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380.502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3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9.280,00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9.325,00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380.472</w:t>
            </w:r>
          </w:p>
        </w:tc>
      </w:tr>
      <w:tr>
        <w:trPr>
          <w:trHeight w:val="300" w:hRule="atLeast"/>
        </w:trPr>
        <w:tc>
          <w:tcPr>
            <w:tcW w:w="2399" w:type="dxa"/>
            <w:tcBorders>
              <w:top w:val="nil"/>
              <w:left w:val="nil"/>
              <w:bottom w:val="nil"/>
              <w:right w:val="nil"/>
              <w:insideH w:val="nil"/>
              <w:insideV w:val="nil"/>
            </w:tcBorders>
            <w:shd w:fill="auto" w:val="clear"/>
            <w:vAlign w:val="bottom"/>
          </w:tcPr>
          <w:p>
            <w:pPr>
              <w:pStyle w:val="Normal"/>
              <w:ind w:firstLine="200"/>
              <w:jc w:val="center"/>
              <w:rPr>
                <w:rFonts w:ascii="Avenir Next" w:hAnsi="Avenir Next" w:cs="Calibri"/>
                <w:b/>
                <w:b/>
                <w:color w:val="000000"/>
                <w:sz w:val="20"/>
                <w:szCs w:val="20"/>
              </w:rPr>
            </w:pPr>
            <w:r>
              <w:rPr>
                <w:rFonts w:cs="Calibri" w:ascii="Avenir Next" w:hAnsi="Avenir Next"/>
                <w:b/>
                <w:color w:val="000000"/>
                <w:sz w:val="20"/>
                <w:szCs w:val="22"/>
              </w:rPr>
              <w:t>2 May 2017</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9.485,00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9.505,00</w:t>
            </w:r>
          </w:p>
        </w:tc>
        <w:tc>
          <w:tcPr>
            <w:tcW w:w="230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color w:val="000000"/>
                <w:sz w:val="20"/>
                <w:szCs w:val="22"/>
              </w:rPr>
              <w:t>379.182</w:t>
            </w:r>
          </w:p>
        </w:tc>
      </w:tr>
    </w:tbl>
    <w:p>
      <w:pPr>
        <w:pStyle w:val="Normal"/>
        <w:ind w:left="-284" w:hanging="0"/>
        <w:rPr>
          <w:rFonts w:ascii="Avenir Next" w:hAnsi="Avenir Next"/>
          <w:b/>
          <w:b/>
          <w:sz w:val="22"/>
        </w:rPr>
      </w:pPr>
      <w:r>
        <w:rPr>
          <w:rFonts w:ascii="Avenir Next" w:hAnsi="Avenir Next"/>
          <w:b/>
          <w:sz w:val="22"/>
        </w:rPr>
        <mc:AlternateContent>
          <mc:Choice Requires="wps">
            <w:drawing>
              <wp:anchor behindDoc="1" distT="0" distB="0" distL="114300" distR="114300" simplePos="0" locked="0" layoutInCell="1" allowOverlap="1" relativeHeight="29" wp14:anchorId="5C3168D8">
                <wp:simplePos x="0" y="0"/>
                <wp:positionH relativeFrom="column">
                  <wp:posOffset>-53340</wp:posOffset>
                </wp:positionH>
                <wp:positionV relativeFrom="paragraph">
                  <wp:posOffset>285750</wp:posOffset>
                </wp:positionV>
                <wp:extent cx="1200785" cy="342265"/>
                <wp:effectExtent l="0" t="0" r="0" b="1270"/>
                <wp:wrapTight wrapText="bothSides">
                  <wp:wrapPolygon edited="0">
                    <wp:start x="0" y="0"/>
                    <wp:lineTo x="0" y="20476"/>
                    <wp:lineTo x="21257" y="20476"/>
                    <wp:lineTo x="21257" y="0"/>
                    <wp:lineTo x="0" y="0"/>
                  </wp:wrapPolygon>
                </wp:wrapTight>
                <wp:docPr id="48" name="Rectangle 8"/>
                <a:graphic xmlns:a="http://schemas.openxmlformats.org/drawingml/2006/main">
                  <a:graphicData uri="http://schemas.microsoft.com/office/word/2010/wordprocessingShape">
                    <wps:wsp>
                      <wps:cNvSpPr/>
                      <wps:spPr>
                        <a:xfrm>
                          <a:off x="0" y="0"/>
                          <a:ext cx="1200240" cy="341640"/>
                        </a:xfrm>
                        <a:prstGeom prst="rect">
                          <a:avLst/>
                        </a:prstGeom>
                        <a:solidFill>
                          <a:srgbClr val="002041"/>
                        </a:solidFill>
                        <a:ln w="12600">
                          <a:noFill/>
                        </a:ln>
                      </wps:spPr>
                      <wps:style>
                        <a:lnRef idx="0"/>
                        <a:fillRef idx="0"/>
                        <a:effectRef idx="0"/>
                        <a:fontRef idx="minor"/>
                      </wps:style>
                      <wps:txbx>
                        <w:txbxContent>
                          <w:p>
                            <w:pPr>
                              <w:pStyle w:val="FrameContents"/>
                              <w:jc w:val="center"/>
                              <w:rPr/>
                            </w:pPr>
                            <w:r>
                              <w:rPr>
                                <w:rFonts w:ascii="Avenir Next" w:hAnsi="Avenir Next"/>
                                <w:b/>
                                <w:color w:val="FFD839"/>
                                <w:lang w:val="en-SG"/>
                              </w:rPr>
                              <w:t>WTI Crude Oil</w:t>
                            </w:r>
                          </w:p>
                        </w:txbxContent>
                      </wps:txbx>
                      <wps:bodyPr anchor="ctr">
                        <a:prstTxWarp prst="textNoShape"/>
                        <a:noAutofit/>
                      </wps:bodyPr>
                    </wps:wsp>
                  </a:graphicData>
                </a:graphic>
              </wp:anchor>
            </w:drawing>
          </mc:Choice>
          <mc:Fallback>
            <w:pict>
              <v:rect id="shape_0" ID="Rectangle 8" fillcolor="#002041" stroked="f" style="position:absolute;margin-left:-4.2pt;margin-top:22.5pt;width:94.45pt;height:26.85pt" wp14:anchorId="5C3168D8">
                <w10:wrap type="square"/>
                <v:fill o:detectmouseclick="t" type="solid" color2="#ffdfbe"/>
                <v:stroke color="#3465a4" weight="12600" joinstyle="miter" endcap="flat"/>
                <v:textbox>
                  <w:txbxContent>
                    <w:p>
                      <w:pPr>
                        <w:pStyle w:val="FrameContents"/>
                        <w:jc w:val="center"/>
                        <w:rPr/>
                      </w:pPr>
                      <w:r>
                        <w:rPr>
                          <w:rFonts w:ascii="Avenir Next" w:hAnsi="Avenir Next"/>
                          <w:b/>
                          <w:color w:val="FFD839"/>
                          <w:lang w:val="en-SG"/>
                        </w:rPr>
                        <w:t>WTI Crude Oil</w:t>
                      </w:r>
                    </w:p>
                  </w:txbxContent>
                </v:textbox>
              </v:rect>
            </w:pict>
          </mc:Fallback>
        </mc:AlternateContent>
        <mc:AlternateContent>
          <mc:Choice Requires="wps">
            <w:drawing>
              <wp:anchor behindDoc="1" distT="0" distB="0" distL="114300" distR="113665" simplePos="0" locked="0" layoutInCell="1" allowOverlap="1" relativeHeight="30" wp14:anchorId="26D5B7F3">
                <wp:simplePos x="0" y="0"/>
                <wp:positionH relativeFrom="column">
                  <wp:posOffset>-43180</wp:posOffset>
                </wp:positionH>
                <wp:positionV relativeFrom="paragraph">
                  <wp:posOffset>238760</wp:posOffset>
                </wp:positionV>
                <wp:extent cx="6171565" cy="45720"/>
                <wp:effectExtent l="0" t="0" r="20320" b="12065"/>
                <wp:wrapTight wrapText="bothSides">
                  <wp:wrapPolygon edited="0">
                    <wp:start x="0" y="0"/>
                    <wp:lineTo x="0" y="18254"/>
                    <wp:lineTo x="21604" y="18254"/>
                    <wp:lineTo x="21604" y="0"/>
                    <wp:lineTo x="0" y="0"/>
                  </wp:wrapPolygon>
                </wp:wrapTight>
                <wp:docPr id="50" name="Rectangle 11"/>
                <a:graphic xmlns:a="http://schemas.openxmlformats.org/drawingml/2006/main">
                  <a:graphicData uri="http://schemas.microsoft.com/office/word/2010/wordprocessingShape">
                    <wps:wsp>
                      <wps:cNvSpPr/>
                      <wps:spPr>
                        <a:xfrm flipV="1">
                          <a:off x="0" y="0"/>
                          <a:ext cx="6170760" cy="45000"/>
                        </a:xfrm>
                        <a:prstGeom prst="rect">
                          <a:avLst/>
                        </a:prstGeom>
                        <a:solidFill>
                          <a:srgbClr val="002041"/>
                        </a:solidFill>
                        <a:ln w="12600">
                          <a:solidFill>
                            <a:srgbClr val="002041"/>
                          </a:solidFill>
                          <a:miter/>
                        </a:ln>
                      </wps:spPr>
                      <wps:style>
                        <a:lnRef idx="0"/>
                        <a:fillRef idx="0"/>
                        <a:effectRef idx="0"/>
                        <a:fontRef idx="minor"/>
                      </wps:style>
                      <wps:txbx>
                        <w:txbxContent>
                          <w:p>
                            <w:pPr>
                              <w:pStyle w:val="FrameContents"/>
                              <w:rPr/>
                            </w:pPr>
                            <w:r>
                              <w:rPr/>
                            </w:r>
                          </w:p>
                        </w:txbxContent>
                      </wps:txbx>
                      <wps:bodyPr anchor="ctr">
                        <a:prstTxWarp prst="textNoShape"/>
                        <a:noAutofit/>
                      </wps:bodyPr>
                    </wps:wsp>
                  </a:graphicData>
                </a:graphic>
              </wp:anchor>
            </w:drawing>
          </mc:Choice>
          <mc:Fallback>
            <w:pict>
              <v:rect id="shape_0" ID="Rectangle 11" fillcolor="#002041" stroked="t" style="position:absolute;margin-left:-3.4pt;margin-top:18.8pt;width:485.85pt;height:3.5pt;flip:y" wp14:anchorId="26D5B7F3">
                <w10:wrap type="none"/>
                <v:fill o:detectmouseclick="t" type="solid" color2="#ffdfbe"/>
                <v:stroke color="#002041" weight="12600" joinstyle="miter" endcap="flat"/>
                <v:textbox>
                  <w:txbxContent>
                    <w:p>
                      <w:pPr>
                        <w:pStyle w:val="FrameContents"/>
                        <w:rPr/>
                      </w:pPr>
                      <w:r>
                        <w:rPr/>
                      </w:r>
                    </w:p>
                  </w:txbxContent>
                </v:textbox>
              </v:rect>
            </w:pict>
          </mc:Fallback>
        </mc:AlternateContent>
      </w:r>
    </w:p>
    <w:p>
      <w:pPr>
        <w:pStyle w:val="Normal"/>
        <w:rPr>
          <w:rFonts w:ascii="Avenir Next" w:hAnsi="Avenir Next"/>
          <w:b/>
          <w:b/>
        </w:rPr>
      </w:pPr>
      <w:r>
        <w:rPr>
          <w:rFonts w:ascii="Avenir Next" w:hAnsi="Avenir Next"/>
          <w:b/>
        </w:rPr>
      </w:r>
    </w:p>
    <w:p>
      <w:pPr>
        <w:pStyle w:val="Normal"/>
        <w:rPr>
          <w:rFonts w:ascii="Avenir Next" w:hAnsi="Avenir Next"/>
          <w:b/>
          <w:b/>
        </w:rPr>
      </w:pPr>
      <w:r>
        <w:rPr>
          <w:rFonts w:ascii="Avenir Next" w:hAnsi="Avenir Next"/>
          <w:b/>
        </w:rPr>
      </w:r>
    </w:p>
    <w:tbl>
      <w:tblPr>
        <w:tblStyle w:val="TableGrid"/>
        <w:tblW w:w="9356" w:type="dxa"/>
        <w:jc w:val="left"/>
        <w:tblInd w:w="0" w:type="dxa"/>
        <w:tblCellMar>
          <w:top w:w="0" w:type="dxa"/>
          <w:left w:w="108" w:type="dxa"/>
          <w:bottom w:w="0" w:type="dxa"/>
          <w:right w:w="108" w:type="dxa"/>
        </w:tblCellMar>
        <w:tblLook w:firstRow="1" w:noVBand="1" w:lastRow="0" w:firstColumn="1" w:lastColumn="0" w:noHBand="0" w:val="04a0"/>
      </w:tblPr>
      <w:tblGrid>
        <w:gridCol w:w="2397"/>
        <w:gridCol w:w="1160"/>
        <w:gridCol w:w="1160"/>
        <w:gridCol w:w="1160"/>
        <w:gridCol w:w="1159"/>
        <w:gridCol w:w="1160"/>
        <w:gridCol w:w="1159"/>
      </w:tblGrid>
      <w:tr>
        <w:trPr>
          <w:trHeight w:val="643" w:hRule="atLeast"/>
        </w:trPr>
        <w:tc>
          <w:tcPr>
            <w:tcW w:w="2397"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eastAsia="Times New Roman" w:ascii="Avenir Next" w:hAnsi="Avenir Next"/>
                <w:b/>
                <w:bCs/>
                <w:caps/>
                <w:color w:val="FFFFFF" w:themeColor="background1"/>
                <w:sz w:val="20"/>
                <w:szCs w:val="20"/>
                <w:lang w:val="en-GB"/>
              </w:rPr>
              <w:t>Date</w:t>
            </w:r>
          </w:p>
        </w:tc>
        <w:tc>
          <w:tcPr>
            <w:tcW w:w="116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cs="Calibri" w:ascii="Avenir Next" w:hAnsi="Avenir Next"/>
                <w:b/>
                <w:bCs/>
                <w:color w:val="FFFFFF"/>
                <w:sz w:val="20"/>
                <w:szCs w:val="20"/>
              </w:rPr>
              <w:t>Price</w:t>
            </w:r>
          </w:p>
        </w:tc>
        <w:tc>
          <w:tcPr>
            <w:tcW w:w="116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cs="Calibri" w:ascii="Avenir Next" w:hAnsi="Avenir Next"/>
                <w:b/>
                <w:bCs/>
                <w:color w:val="FFFFFF"/>
                <w:sz w:val="20"/>
                <w:szCs w:val="20"/>
              </w:rPr>
              <w:t>Open</w:t>
            </w:r>
          </w:p>
        </w:tc>
        <w:tc>
          <w:tcPr>
            <w:tcW w:w="116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cs="Calibri" w:ascii="Avenir Next" w:hAnsi="Avenir Next"/>
                <w:b/>
                <w:bCs/>
                <w:color w:val="FFFFFF"/>
                <w:sz w:val="20"/>
                <w:szCs w:val="20"/>
              </w:rPr>
              <w:t>High</w:t>
            </w:r>
          </w:p>
        </w:tc>
        <w:tc>
          <w:tcPr>
            <w:tcW w:w="115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cs="Calibri" w:ascii="Avenir Next" w:hAnsi="Avenir Next"/>
                <w:b/>
                <w:bCs/>
                <w:color w:val="FFFFFF"/>
                <w:sz w:val="20"/>
                <w:szCs w:val="20"/>
              </w:rPr>
              <w:t>Low</w:t>
            </w:r>
          </w:p>
        </w:tc>
        <w:tc>
          <w:tcPr>
            <w:tcW w:w="1160"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cs="Calibri" w:ascii="Avenir Next" w:hAnsi="Avenir Next"/>
                <w:b/>
                <w:bCs/>
                <w:color w:val="FFFFFF"/>
                <w:sz w:val="20"/>
                <w:szCs w:val="20"/>
              </w:rPr>
              <w:t>Vol.</w:t>
            </w:r>
          </w:p>
        </w:tc>
        <w:tc>
          <w:tcPr>
            <w:tcW w:w="1159" w:type="dxa"/>
            <w:tcBorders>
              <w:top w:val="nil"/>
              <w:left w:val="nil"/>
              <w:bottom w:val="nil"/>
              <w:right w:val="nil"/>
              <w:insideH w:val="nil"/>
              <w:insideV w:val="nil"/>
            </w:tcBorders>
            <w:shd w:color="auto" w:fill="E87349" w:val="clear"/>
            <w:vAlign w:val="center"/>
          </w:tcPr>
          <w:p>
            <w:pPr>
              <w:pStyle w:val="Normal"/>
              <w:jc w:val="center"/>
              <w:rPr>
                <w:rFonts w:ascii="Avenir Next" w:hAnsi="Avenir Next" w:eastAsia="Times New Roman"/>
                <w:b/>
                <w:b/>
                <w:bCs/>
                <w:caps/>
                <w:color w:val="FFFFFF" w:themeColor="background1"/>
                <w:sz w:val="20"/>
                <w:szCs w:val="20"/>
                <w:lang w:val="en-GB"/>
              </w:rPr>
            </w:pPr>
            <w:r>
              <w:rPr>
                <w:rFonts w:cs="Calibri" w:ascii="Avenir Next" w:hAnsi="Avenir Next"/>
                <w:b/>
                <w:bCs/>
                <w:color w:val="FFFFFF"/>
                <w:sz w:val="20"/>
                <w:szCs w:val="20"/>
              </w:rPr>
              <w:t>Change %</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31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48.32</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49.65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49.71</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47.73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779.14K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-0.027</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30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49.66</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49.93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50.28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49.03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663.49K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-0.0062</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26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49.97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49.95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50.29</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49.52</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0.0006</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24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49.94</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49.93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50.04</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49.85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0.0028</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23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49.8</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48.75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49.94</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48.18</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763.92K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0.0184</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22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48.9</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51.25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52</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48.45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1.15M</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-0.0479</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19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51.36</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51.44</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51.88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51.03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736.34K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-0.0021</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18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51.47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51.04</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51.79</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50.57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584.14K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0.0146</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17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50.73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50.6</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51.06</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50.44</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30.01K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0.0079</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16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50.33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49.28</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50.53</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49.28</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146.45K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0.0199</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15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49.35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48.93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49.6</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48.05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242.75K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0.0057</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12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49.07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48.23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49.5</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48.03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650.11K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0.0084</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11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48.66</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48.82</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49.38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48.17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589.21K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-0.0039</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10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48.85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47.85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49.66</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47.75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687.15K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0.0211</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9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47.84</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47.81</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48.07</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47.35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537.49K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0.0002</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8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47.83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47.39</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48.22</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47.34</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661.78K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0.0106</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5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47.33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46.18</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47.78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46.01</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819.80K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0.0316</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eastAsia="Times New Roman"/>
                <w:b/>
                <w:b/>
                <w:bCs/>
                <w:caps/>
                <w:color w:val="000000"/>
                <w:sz w:val="20"/>
                <w:szCs w:val="20"/>
                <w:lang w:val="en-GB"/>
              </w:rPr>
            </w:pPr>
            <w:r>
              <w:rPr>
                <w:rFonts w:cs="Calibri" w:ascii="Avenir Next" w:hAnsi="Avenir Next"/>
                <w:b/>
                <w:color w:val="000000"/>
                <w:sz w:val="20"/>
                <w:szCs w:val="22"/>
              </w:rPr>
              <w:t>4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45.88</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46.49</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eastAsia="Times New Roman"/>
                <w:color w:val="000000"/>
                <w:sz w:val="20"/>
                <w:szCs w:val="20"/>
                <w:lang w:val="en-GB"/>
              </w:rPr>
            </w:pPr>
            <w:r>
              <w:rPr>
                <w:rFonts w:cs="Calibri" w:ascii="Avenir Next" w:hAnsi="Avenir Next"/>
                <w:color w:val="000000"/>
                <w:sz w:val="20"/>
                <w:szCs w:val="20"/>
              </w:rPr>
              <w:t>46.78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45.53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701.94K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-0.0118</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cs="Calibri"/>
                <w:b/>
                <w:b/>
                <w:color w:val="000000"/>
                <w:sz w:val="20"/>
                <w:szCs w:val="20"/>
              </w:rPr>
            </w:pPr>
            <w:r>
              <w:rPr>
                <w:rFonts w:cs="Calibri" w:ascii="Avenir Next" w:hAnsi="Avenir Next"/>
                <w:b/>
                <w:color w:val="000000"/>
                <w:sz w:val="20"/>
                <w:szCs w:val="22"/>
              </w:rPr>
              <w:t>3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46.43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46.35</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46.98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45.73</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785.06K</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0.0045</w:t>
            </w:r>
          </w:p>
        </w:tc>
      </w:tr>
      <w:tr>
        <w:trPr>
          <w:trHeight w:val="300" w:hRule="atLeast"/>
        </w:trPr>
        <w:tc>
          <w:tcPr>
            <w:tcW w:w="2397" w:type="dxa"/>
            <w:tcBorders>
              <w:top w:val="nil"/>
              <w:left w:val="nil"/>
              <w:bottom w:val="nil"/>
              <w:right w:val="nil"/>
              <w:insideH w:val="nil"/>
              <w:insideV w:val="nil"/>
            </w:tcBorders>
            <w:shd w:fill="auto" w:val="clear"/>
            <w:vAlign w:val="bottom"/>
          </w:tcPr>
          <w:p>
            <w:pPr>
              <w:pStyle w:val="Normal"/>
              <w:ind w:firstLine="200"/>
              <w:rPr>
                <w:rFonts w:ascii="Avenir Next" w:hAnsi="Avenir Next" w:cs="Calibri"/>
                <w:b/>
                <w:b/>
                <w:color w:val="000000"/>
                <w:sz w:val="20"/>
                <w:szCs w:val="20"/>
              </w:rPr>
            </w:pPr>
            <w:r>
              <w:rPr>
                <w:rFonts w:cs="Calibri" w:ascii="Avenir Next" w:hAnsi="Avenir Next"/>
                <w:b/>
                <w:color w:val="000000"/>
                <w:sz w:val="20"/>
                <w:szCs w:val="22"/>
              </w:rPr>
              <w:t>2 May 2017</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46.22</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45.51</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46.68</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43.76</w:t>
            </w:r>
          </w:p>
        </w:tc>
        <w:tc>
          <w:tcPr>
            <w:tcW w:w="1160"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1.02M</w:t>
            </w:r>
          </w:p>
        </w:tc>
        <w:tc>
          <w:tcPr>
            <w:tcW w:w="1159" w:type="dxa"/>
            <w:tcBorders>
              <w:top w:val="nil"/>
              <w:left w:val="nil"/>
              <w:bottom w:val="nil"/>
              <w:right w:val="nil"/>
              <w:insideH w:val="nil"/>
              <w:insideV w:val="nil"/>
            </w:tcBorders>
            <w:shd w:fill="auto" w:val="clear"/>
          </w:tcPr>
          <w:p>
            <w:pPr>
              <w:pStyle w:val="Normal"/>
              <w:ind w:firstLine="200"/>
              <w:jc w:val="center"/>
              <w:rPr>
                <w:rFonts w:ascii="Avenir Next" w:hAnsi="Avenir Next" w:cs="Calibri"/>
                <w:color w:val="000000"/>
                <w:sz w:val="20"/>
                <w:szCs w:val="20"/>
              </w:rPr>
            </w:pPr>
            <w:r>
              <w:rPr>
                <w:rFonts w:cs="Calibri" w:ascii="Avenir Next" w:hAnsi="Avenir Next"/>
                <w:color w:val="000000"/>
                <w:sz w:val="20"/>
                <w:szCs w:val="20"/>
              </w:rPr>
              <w:t>0.0154</w:t>
            </w:r>
          </w:p>
        </w:tc>
      </w:tr>
    </w:tbl>
    <w:p>
      <w:pPr>
        <w:pStyle w:val="Normal"/>
        <w:ind w:left="-284" w:hanging="0"/>
        <w:rPr>
          <w:rFonts w:ascii="Avenir Next" w:hAnsi="Avenir Next"/>
          <w:b/>
          <w:b/>
        </w:rPr>
      </w:pPr>
      <w:r>
        <w:rPr>
          <w:rFonts w:ascii="Avenir Next" w:hAnsi="Avenir Next"/>
          <w:b/>
        </w:rPr>
      </w:r>
    </w:p>
    <w:p>
      <w:pPr>
        <w:pStyle w:val="Normal"/>
        <w:jc w:val="both"/>
        <w:rPr/>
      </w:pPr>
      <w:r>
        <w:rPr/>
      </w:r>
    </w:p>
    <w:sectPr>
      <w:headerReference w:type="default" r:id="rId8"/>
      <w:footerReference w:type="default" r:id="rId9"/>
      <w:type w:val="nextPage"/>
      <w:pgSz w:w="11906" w:h="16838"/>
      <w:pgMar w:left="1440" w:right="1440" w:header="708" w:top="1146" w:footer="708" w:bottom="1201" w:gutter="0"/>
      <w:pgNumType w:start="0" w:fmt="decimal"/>
      <w:formProt w:val="false"/>
      <w:textDirection w:val="lrTb"/>
      <w:docGrid w:type="default" w:linePitch="4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Avenir Next">
    <w:charset w:val="00"/>
    <w:family w:val="roman"/>
    <w:pitch w:val="variable"/>
  </w:font>
  <w:font w:name="Liberation Sans">
    <w:altName w:val="Arial"/>
    <w:charset w:val="00"/>
    <w:family w:val="swiss"/>
    <w:pitch w:val="variable"/>
  </w:font>
  <w:font w:name="Avenir Next Regular">
    <w:charset w:val="00"/>
    <w:family w:val="roman"/>
    <w:pitch w:val="variable"/>
  </w:font>
  <w:font w:name="Avenir Next">
    <w:charset w:val="01"/>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rFonts w:ascii="Avenir Next" w:hAnsi="Avenir Next"/>
        <w:sz w:val="20"/>
      </w:rPr>
    </w:pPr>
    <w:r>
      <w:rPr>
        <w:rFonts w:ascii="Avenir Next" w:hAnsi="Avenir Next"/>
        <w:sz w:val="20"/>
      </w:rPr>
      <w:t>GROWTH - CONSISTENCY - ETHICS</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pPr>
    <w:r>
      <w:rPr>
        <w:rFonts w:ascii="Avenir Next" w:hAnsi="Avenir Next"/>
        <w:sz w:val="20"/>
      </w:rPr>
      <w:t>GROWTH - CONSISTENCY - ETHICS</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jc w:val="center"/>
      <w:rPr/>
    </w:pPr>
    <w:r>
      <w:rPr>
        <w:rFonts w:ascii="Avenir Next" w:hAnsi="Avenir Next"/>
        <w:sz w:val="20"/>
      </w:rPr>
      <w:t>GROWTH - CONSISTENCY - ETHICS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12" wp14:anchorId="79C7F081">
              <wp:simplePos x="0" y="0"/>
              <wp:positionH relativeFrom="column">
                <wp:posOffset>-1122680</wp:posOffset>
              </wp:positionH>
              <wp:positionV relativeFrom="paragraph">
                <wp:posOffset>-464820</wp:posOffset>
              </wp:positionV>
              <wp:extent cx="11118850" cy="389255"/>
              <wp:effectExtent l="0" t="0" r="0" b="0"/>
              <wp:wrapThrough wrapText="bothSides">
                <wp:wrapPolygon edited="0">
                  <wp:start x="0" y="0"/>
                  <wp:lineTo x="0" y="19765"/>
                  <wp:lineTo x="21564" y="19765"/>
                  <wp:lineTo x="21564" y="0"/>
                  <wp:lineTo x="0" y="0"/>
                </wp:wrapPolygon>
              </wp:wrapThrough>
              <wp:docPr id="22" name="Rectangle 10"/>
              <a:graphic xmlns:a="http://schemas.openxmlformats.org/drawingml/2006/main">
                <a:graphicData uri="http://schemas.microsoft.com/office/word/2010/wordprocessingShape">
                  <wps:wsp>
                    <wps:cNvSpPr/>
                    <wps:spPr>
                      <a:xfrm>
                        <a:off x="0" y="0"/>
                        <a:ext cx="11118240" cy="388800"/>
                      </a:xfrm>
                      <a:prstGeom prst="rect">
                        <a:avLst/>
                      </a:prstGeom>
                      <a:solidFill>
                        <a:srgbClr val="a6a6a6"/>
                      </a:solidFill>
                      <a:ln w="12600">
                        <a:noFill/>
                      </a:ln>
                    </wps:spPr>
                    <wps:style>
                      <a:lnRef idx="0"/>
                      <a:fillRef idx="0"/>
                      <a:effectRef idx="0"/>
                      <a:fontRef idx="minor"/>
                    </wps:style>
                    <wps:bodyPr/>
                  </wps:wsp>
                </a:graphicData>
              </a:graphic>
            </wp:anchor>
          </w:drawing>
        </mc:Choice>
        <mc:Fallback>
          <w:pict>
            <v:rect id="shape_0" ID="Rectangle 10" fillcolor="#a6a6a6" stroked="f" style="position:absolute;margin-left:-88.4pt;margin-top:-36.6pt;width:875.4pt;height:30.55pt" wp14:anchorId="79C7F081">
              <w10:wrap type="none"/>
              <v:fill o:detectmouseclick="t" type="solid" color2="#595959"/>
              <v:stroke color="#3465a4" weight="12600" joinstyle="miter" endcap="flat"/>
            </v:rect>
          </w:pict>
        </mc:Fallback>
      </mc:AlternateContent>
      <w:drawing>
        <wp:anchor behindDoc="1" distT="0" distB="9525" distL="114300" distR="127000" simplePos="0" locked="0" layoutInCell="1" allowOverlap="1" relativeHeight="15">
          <wp:simplePos x="0" y="0"/>
          <wp:positionH relativeFrom="column">
            <wp:posOffset>-515620</wp:posOffset>
          </wp:positionH>
          <wp:positionV relativeFrom="paragraph">
            <wp:posOffset>-166370</wp:posOffset>
          </wp:positionV>
          <wp:extent cx="927100" cy="269875"/>
          <wp:effectExtent l="0" t="0" r="0" b="0"/>
          <wp:wrapSquare wrapText="bothSides"/>
          <wp:docPr id="23" name="Picture 30" descr="/Users/Nicholas/Downloads/ENV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Users/Nicholas/Downloads/ENVY LOGO.png"/>
                  <pic:cNvPicPr>
                    <a:picLocks noChangeAspect="1" noChangeArrowheads="1"/>
                  </pic:cNvPicPr>
                </pic:nvPicPr>
                <pic:blipFill>
                  <a:blip r:embed="rId1"/>
                  <a:stretch>
                    <a:fillRect/>
                  </a:stretch>
                </pic:blipFill>
                <pic:spPr bwMode="auto">
                  <a:xfrm>
                    <a:off x="0" y="0"/>
                    <a:ext cx="927100" cy="2698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Avenir Next" w:hAnsi="Avenir Next" w:cs="Avenir Next" w:hint="default"/>
        <w:sz w:val="20"/>
        <w:b/>
        <w:rFonts w:cs="Times New Roman"/>
        <w:color w:val="00000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Times New Roman"/>
        <w:lang w:val="en-GB" w:eastAsia="zh-CN"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DengXian" w:cs="Times New Roman"/>
      <w:color w:val="auto"/>
      <w:sz w:val="24"/>
      <w:szCs w:val="24"/>
      <w:lang w:val="en-US" w:eastAsia="zh-CN"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15049"/>
    <w:rPr/>
  </w:style>
  <w:style w:type="character" w:styleId="FooterChar" w:customStyle="1">
    <w:name w:val="Footer Char"/>
    <w:basedOn w:val="DefaultParagraphFont"/>
    <w:link w:val="Footer"/>
    <w:uiPriority w:val="99"/>
    <w:qFormat/>
    <w:rsid w:val="00e15049"/>
    <w:rPr/>
  </w:style>
  <w:style w:type="character" w:styleId="Pagenumber">
    <w:name w:val="page number"/>
    <w:basedOn w:val="DefaultParagraphFont"/>
    <w:uiPriority w:val="99"/>
    <w:semiHidden/>
    <w:unhideWhenUsed/>
    <w:qFormat/>
    <w:rsid w:val="00e15049"/>
    <w:rPr/>
  </w:style>
  <w:style w:type="character" w:styleId="DateChar" w:customStyle="1">
    <w:name w:val="Date Char"/>
    <w:basedOn w:val="DefaultParagraphFont"/>
    <w:link w:val="Date"/>
    <w:uiPriority w:val="99"/>
    <w:semiHidden/>
    <w:qFormat/>
    <w:rsid w:val="003b0f5c"/>
    <w:rPr/>
  </w:style>
  <w:style w:type="character" w:styleId="BalloonTextChar" w:customStyle="1">
    <w:name w:val="Balloon Text Char"/>
    <w:link w:val="BalloonText"/>
    <w:uiPriority w:val="99"/>
    <w:semiHidden/>
    <w:qFormat/>
    <w:rsid w:val="00e10e0b"/>
    <w:rPr>
      <w:rFonts w:ascii="Lucida Grande" w:hAnsi="Lucida Grande" w:cs="Lucida Grande"/>
      <w:sz w:val="18"/>
      <w:szCs w:val="18"/>
    </w:rPr>
  </w:style>
  <w:style w:type="character" w:styleId="Annotationreference">
    <w:name w:val="annotation reference"/>
    <w:basedOn w:val="DefaultParagraphFont"/>
    <w:uiPriority w:val="99"/>
    <w:semiHidden/>
    <w:unhideWhenUsed/>
    <w:qFormat/>
    <w:rsid w:val="00840536"/>
    <w:rPr>
      <w:sz w:val="16"/>
      <w:szCs w:val="16"/>
    </w:rPr>
  </w:style>
  <w:style w:type="character" w:styleId="CommentTextChar" w:customStyle="1">
    <w:name w:val="Comment Text Char"/>
    <w:basedOn w:val="DefaultParagraphFont"/>
    <w:link w:val="CommentText"/>
    <w:uiPriority w:val="99"/>
    <w:semiHidden/>
    <w:qFormat/>
    <w:rsid w:val="00840536"/>
    <w:rPr>
      <w:lang w:val="en-US"/>
    </w:rPr>
  </w:style>
  <w:style w:type="character" w:styleId="CommentSubjectChar" w:customStyle="1">
    <w:name w:val="Comment Subject Char"/>
    <w:basedOn w:val="CommentTextChar"/>
    <w:link w:val="CommentSubject"/>
    <w:uiPriority w:val="99"/>
    <w:semiHidden/>
    <w:qFormat/>
    <w:rsid w:val="00840536"/>
    <w:rPr>
      <w:b/>
      <w:bCs/>
      <w:lang w:val="en-US"/>
    </w:rPr>
  </w:style>
  <w:style w:type="character" w:styleId="Font01" w:customStyle="1">
    <w:name w:val="font01"/>
    <w:basedOn w:val="DefaultParagraphFont"/>
    <w:qFormat/>
    <w:rsid w:val="0054491b"/>
    <w:rPr>
      <w:rFonts w:ascii="Calibri" w:hAnsi="Calibri" w:cs="Calibri"/>
      <w:b w:val="false"/>
      <w:bCs w:val="false"/>
      <w:i w:val="false"/>
      <w:iCs w:val="false"/>
      <w:strike w:val="false"/>
      <w:dstrike w:val="false"/>
      <w:color w:val="000000"/>
      <w:sz w:val="22"/>
      <w:szCs w:val="22"/>
      <w:u w:val="none"/>
      <w:effect w:val="none"/>
    </w:rPr>
  </w:style>
  <w:style w:type="character" w:styleId="Font91" w:customStyle="1">
    <w:name w:val="font91"/>
    <w:basedOn w:val="DefaultParagraphFont"/>
    <w:qFormat/>
    <w:rsid w:val="0054491b"/>
    <w:rPr>
      <w:rFonts w:ascii="Calibri" w:hAnsi="Calibri" w:cs="Calibri"/>
      <w:b w:val="false"/>
      <w:bCs w:val="false"/>
      <w:i w:val="false"/>
      <w:iCs w:val="false"/>
      <w:strike w:val="false"/>
      <w:dstrike w:val="false"/>
      <w:color w:val="FF0000"/>
      <w:sz w:val="22"/>
      <w:szCs w:val="22"/>
      <w:u w:val="none"/>
      <w:effect w:val="none"/>
    </w:rPr>
  </w:style>
  <w:style w:type="character" w:styleId="ListLabel1">
    <w:name w:val="ListLabel 1"/>
    <w:qFormat/>
    <w:rPr>
      <w:rFonts w:ascii="Avenir Next" w:hAnsi="Avenir Next" w:eastAsia="Times New Roman" w:cs="Times New Roman"/>
      <w:b/>
      <w:color w:val="000000"/>
      <w:sz w:val="20"/>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link w:val="HeaderChar"/>
    <w:uiPriority w:val="99"/>
    <w:unhideWhenUsed/>
    <w:rsid w:val="00e15049"/>
    <w:pPr>
      <w:tabs>
        <w:tab w:val="center" w:pos="4513" w:leader="none"/>
        <w:tab w:val="right" w:pos="9026" w:leader="none"/>
      </w:tabs>
    </w:pPr>
    <w:rPr/>
  </w:style>
  <w:style w:type="paragraph" w:styleId="Footer">
    <w:name w:val="Footer"/>
    <w:basedOn w:val="Normal"/>
    <w:link w:val="FooterChar"/>
    <w:uiPriority w:val="99"/>
    <w:unhideWhenUsed/>
    <w:rsid w:val="00e15049"/>
    <w:pPr>
      <w:tabs>
        <w:tab w:val="center" w:pos="4513" w:leader="none"/>
        <w:tab w:val="right" w:pos="9026" w:leader="none"/>
      </w:tabs>
    </w:pPr>
    <w:rPr/>
  </w:style>
  <w:style w:type="paragraph" w:styleId="Date">
    <w:name w:val="Date"/>
    <w:basedOn w:val="Normal"/>
    <w:next w:val="Normal"/>
    <w:link w:val="DateChar"/>
    <w:uiPriority w:val="99"/>
    <w:semiHidden/>
    <w:unhideWhenUsed/>
    <w:qFormat/>
    <w:rsid w:val="003b0f5c"/>
    <w:pPr/>
    <w:rPr/>
  </w:style>
  <w:style w:type="paragraph" w:styleId="BalloonText">
    <w:name w:val="Balloon Text"/>
    <w:basedOn w:val="Normal"/>
    <w:link w:val="BalloonTextChar"/>
    <w:uiPriority w:val="99"/>
    <w:semiHidden/>
    <w:unhideWhenUsed/>
    <w:qFormat/>
    <w:rsid w:val="00e10e0b"/>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840536"/>
    <w:pPr/>
    <w:rPr>
      <w:sz w:val="20"/>
      <w:szCs w:val="20"/>
    </w:rPr>
  </w:style>
  <w:style w:type="paragraph" w:styleId="Annotationsubject">
    <w:name w:val="annotation subject"/>
    <w:basedOn w:val="Annotationtext"/>
    <w:link w:val="CommentSubjectChar"/>
    <w:uiPriority w:val="99"/>
    <w:semiHidden/>
    <w:unhideWhenUsed/>
    <w:qFormat/>
    <w:rsid w:val="00840536"/>
    <w:pPr/>
    <w:rPr>
      <w:b/>
      <w:bCs/>
    </w:rPr>
  </w:style>
  <w:style w:type="paragraph" w:styleId="ListParagraph">
    <w:name w:val="List Paragraph"/>
    <w:basedOn w:val="Normal"/>
    <w:uiPriority w:val="34"/>
    <w:qFormat/>
    <w:rsid w:val="00b675c5"/>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73bb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31">
    <w:name w:val="Plain Table 31"/>
    <w:basedOn w:val="TableNormal"/>
    <w:uiPriority w:val="43"/>
    <w:rsid w:val="00344e18"/>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344e18"/>
    <w:tblPr>
      <w:tblStyleRowBandSize w:val="1"/>
      <w:tblStyleColBandSize w:val="1"/>
    </w:tblPr>
    <w:tblStylePr w:type="firstRow">
      <w:rPr>
        <w:i/>
        <w:sz w:val="26"/>
      </w:rPr>
      <w:tblPr/>
      <w:tcPr>
        <w:tcBorders>
          <w:bottom w:val="single" w:color="7F7F7F" w:sz="4" w:space="0"/>
        </w:tcBorders>
        <w:shd w:val="clear" w:color="auto" w:fill="FFFFFF"/>
      </w:tcPr>
    </w:tblStylePr>
    <w:tblStylePr w:type="lastRow">
      <w:rPr>
        <w:i/>
        <w:sz w:val="26"/>
      </w:rPr>
      <w:tblPr/>
      <w:tcPr>
        <w:tcBorders>
          <w:top w:val="single" w:color="7F7F7F" w:sz="4" w:space="0"/>
        </w:tcBorders>
        <w:shd w:val="clear" w:color="auto" w:fill="FFFFFF"/>
      </w:tcPr>
    </w:tblStylePr>
    <w:tblStylePr w:type="firstCol">
      <w:pPr>
        <w:jc w:val="right"/>
      </w:pPr>
      <w:rPr>
        <w:i/>
        <w:sz w:val="26"/>
      </w:rPr>
      <w:tblPr/>
      <w:tcPr>
        <w:tcBorders>
          <w:right w:val="single" w:color="7F7F7F" w:sz="4" w:space="0"/>
        </w:tcBorders>
        <w:shd w:val="clear" w:color="auto" w:fill="FFFFFF"/>
      </w:tcPr>
    </w:tblStylePr>
    <w:tblStylePr w:type="lastCol">
      <w:rPr>
        <w:i/>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t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Application>LibreOffice/5.2.7.2$Windows_x86 LibreOffice_project/2b7f1e640c46ceb28adf43ee075a6e8b8439ed10</Application>
  <Pages>21</Pages>
  <Words>1825</Words>
  <Characters>10031</Characters>
  <CharactersWithSpaces>11061</CharactersWithSpaces>
  <Paragraphs>951</Paragraphs>
  <Company>Citizen Relations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2017-06-05T07:33:00Z</dcterms:created>
  <dc:creator>Siow, Leandro</dc:creator>
  <dc:description/>
  <dc:language>en-PH</dc:language>
  <cp:lastModifiedBy/>
  <dcterms:modified xsi:type="dcterms:W3CDTF">2017-09-13T09:45:09Z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Citizen Relations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