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Model-Family Comparison and Evaluation</w:t>
      </w:r>
    </w:p>
    <w:p>
      <w:pPr>
        <w:jc w:val="center"/>
      </w:pPr>
      <w:r>
        <w:rPr>
          <w:i/>
        </w:rPr>
        <w:t>Project: SAMSum-Based Intelligent Conversation Summarization and Action-Item Extraction</w:t>
      </w:r>
    </w:p>
    <w:p>
      <w:pPr>
        <w:pStyle w:val="Heading1"/>
      </w:pPr>
      <w:r>
        <w:t>Executive Summary</w:t>
      </w:r>
    </w:p>
    <w:p>
      <w:r>
        <w:t>Three pretrained models were evaluated on the same 50 unique SAMSum test-split dialogues, producing 150 generated summaries. FLAN-T5-base achieved the highest mean ROUGE-1, ROUGE-2, and ROUGE-L F1 scores and the lowest mean generation time in this recorded CPU experiment. These results describe the tested model-and-input configurations and do not establish universal model superiority.</w:t>
      </w:r>
    </w:p>
    <w:p>
      <w:pPr>
        <w:pStyle w:val="Heading1"/>
      </w:pPr>
      <w:r>
        <w:t>1. Objective and Scope</w:t>
      </w:r>
    </w:p>
    <w:p>
      <w:r>
        <w:t>The experiment compares Qwen/Qwen2.5-1.5B-Instruct, google/flan-t5-base, and sshleifer/distilbart-cnn-12-6 for dialogue summarization. The evaluation uses 50 unique samples selected from data/processed/samsum-test-processed.csv with random seed 42. The three pilot IDs (13818513, 13681000, 13728094) are excluded from sample selection. Each model generates one summary for each selected dialogue.</w:t>
      </w:r>
    </w:p>
    <w:p>
      <w:pPr>
        <w:pStyle w:val="Heading1"/>
      </w:pPr>
      <w:r>
        <w:t>2. Methodology</w:t>
      </w:r>
    </w:p>
    <w:p>
      <w:r>
        <w:t>The runner is src/run_model_family_comparison_50.py. It selects 50 test-split samples reproducibly, saves the selected IDs in sample_manifest.json, and records each generation to the evaluation output directory. The recorded run used CPU inference, a maximum input length of 1,024 tokens, max_new_tokens=100, do_sample=False, and num_beams=1. ROUGE-1, ROUGE-2, and ROUGE-L F1 were calculated using rouge_score with stemming.</w:t>
      </w:r>
    </w:p>
    <w:p>
      <w:r>
        <w:t>Input formatting differs by model: Qwen uses the constraint_based prompt, FLAN-T5 uses the constraint_based prompt, and DistilBART receives dialogue_only input. Because prompt formats and model families differ, this is a comparison of tested configurations, not a controlled isolation of architecture alone.</w:t>
      </w:r>
    </w:p>
    <w:p>
      <w:pPr>
        <w:pStyle w:val="Heading1"/>
      </w:pPr>
      <w:r>
        <w:t>3. Quantitative Results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center"/>
          </w:tcPr>
          <w:p>
            <w:r>
              <w:t>Model</w:t>
            </w:r>
          </w:p>
        </w:tc>
        <w:tc>
          <w:tcPr>
            <w:tcW w:type="dxa" w:w="1656"/>
            <w:vAlign w:val="center"/>
          </w:tcPr>
          <w:p>
            <w:r>
              <w:t>Samples</w:t>
            </w:r>
          </w:p>
        </w:tc>
        <w:tc>
          <w:tcPr>
            <w:tcW w:type="dxa" w:w="1656"/>
            <w:vAlign w:val="center"/>
          </w:tcPr>
          <w:p>
            <w:r>
              <w:t>ROUGE-1 F1</w:t>
            </w:r>
          </w:p>
        </w:tc>
        <w:tc>
          <w:tcPr>
            <w:tcW w:type="dxa" w:w="1656"/>
            <w:vAlign w:val="center"/>
          </w:tcPr>
          <w:p>
            <w:r>
              <w:t>ROUGE-2 F1</w:t>
            </w:r>
          </w:p>
        </w:tc>
        <w:tc>
          <w:tcPr>
            <w:tcW w:type="dxa" w:w="1656"/>
            <w:vAlign w:val="center"/>
          </w:tcPr>
          <w:p>
            <w:r>
              <w:t>ROUGE-L F1</w:t>
            </w:r>
          </w:p>
        </w:tc>
        <w:tc>
          <w:tcPr>
            <w:tcW w:type="dxa" w:w="1656"/>
            <w:vAlign w:val="center"/>
          </w:tcPr>
          <w:p>
            <w:r>
              <w:t>Mean sec/sample</w:t>
            </w:r>
          </w:p>
        </w:tc>
      </w:tr>
      <w:tr>
        <w:tc>
          <w:tcPr>
            <w:tcW w:type="dxa" w:w="1656"/>
            <w:vAlign w:val="center"/>
          </w:tcPr>
          <w:p>
            <w:r>
              <w:t>Qwen/Qwen2.5-1.5B-Instruct</w:t>
            </w:r>
          </w:p>
        </w:tc>
        <w:tc>
          <w:tcPr>
            <w:tcW w:type="dxa" w:w="1656"/>
            <w:vAlign w:val="center"/>
          </w:tcPr>
          <w:p>
            <w:r>
              <w:t>50</w:t>
            </w:r>
          </w:p>
        </w:tc>
        <w:tc>
          <w:tcPr>
            <w:tcW w:type="dxa" w:w="1656"/>
            <w:vAlign w:val="center"/>
          </w:tcPr>
          <w:p>
            <w:r>
              <w:t>0.220521</w:t>
            </w:r>
          </w:p>
        </w:tc>
        <w:tc>
          <w:tcPr>
            <w:tcW w:type="dxa" w:w="1656"/>
            <w:vAlign w:val="center"/>
          </w:tcPr>
          <w:p>
            <w:r>
              <w:t>0.072396</w:t>
            </w:r>
          </w:p>
        </w:tc>
        <w:tc>
          <w:tcPr>
            <w:tcW w:type="dxa" w:w="1656"/>
            <w:vAlign w:val="center"/>
          </w:tcPr>
          <w:p>
            <w:r>
              <w:t>0.158634</w:t>
            </w:r>
          </w:p>
        </w:tc>
        <w:tc>
          <w:tcPr>
            <w:tcW w:type="dxa" w:w="1656"/>
            <w:vAlign w:val="center"/>
          </w:tcPr>
          <w:p>
            <w:r>
              <w:t>21.68958</w:t>
            </w:r>
          </w:p>
        </w:tc>
      </w:tr>
      <w:tr>
        <w:tc>
          <w:tcPr>
            <w:tcW w:type="dxa" w:w="1656"/>
            <w:vAlign w:val="center"/>
          </w:tcPr>
          <w:p>
            <w:r>
              <w:t>google/flan-t5-base</w:t>
            </w:r>
          </w:p>
        </w:tc>
        <w:tc>
          <w:tcPr>
            <w:tcW w:type="dxa" w:w="1656"/>
            <w:vAlign w:val="center"/>
          </w:tcPr>
          <w:p>
            <w:r>
              <w:t>50</w:t>
            </w:r>
          </w:p>
        </w:tc>
        <w:tc>
          <w:tcPr>
            <w:tcW w:type="dxa" w:w="1656"/>
            <w:vAlign w:val="center"/>
          </w:tcPr>
          <w:p>
            <w:r>
              <w:t>0.514008</w:t>
            </w:r>
          </w:p>
        </w:tc>
        <w:tc>
          <w:tcPr>
            <w:tcW w:type="dxa" w:w="1656"/>
            <w:vAlign w:val="center"/>
          </w:tcPr>
          <w:p>
            <w:r>
              <w:t>0.248225</w:t>
            </w:r>
          </w:p>
        </w:tc>
        <w:tc>
          <w:tcPr>
            <w:tcW w:type="dxa" w:w="1656"/>
            <w:vAlign w:val="center"/>
          </w:tcPr>
          <w:p>
            <w:r>
              <w:t>0.429139</w:t>
            </w:r>
          </w:p>
        </w:tc>
        <w:tc>
          <w:tcPr>
            <w:tcW w:type="dxa" w:w="1656"/>
            <w:vAlign w:val="center"/>
          </w:tcPr>
          <w:p>
            <w:r>
              <w:t>0.63586</w:t>
            </w:r>
          </w:p>
        </w:tc>
      </w:tr>
      <w:tr>
        <w:tc>
          <w:tcPr>
            <w:tcW w:type="dxa" w:w="1656"/>
            <w:vAlign w:val="center"/>
          </w:tcPr>
          <w:p>
            <w:r>
              <w:t>sshleifer/distilbart-cnn-12-6</w:t>
            </w:r>
          </w:p>
        </w:tc>
        <w:tc>
          <w:tcPr>
            <w:tcW w:type="dxa" w:w="1656"/>
            <w:vAlign w:val="center"/>
          </w:tcPr>
          <w:p>
            <w:r>
              <w:t>50</w:t>
            </w:r>
          </w:p>
        </w:tc>
        <w:tc>
          <w:tcPr>
            <w:tcW w:type="dxa" w:w="1656"/>
            <w:vAlign w:val="center"/>
          </w:tcPr>
          <w:p>
            <w:r>
              <w:t>0.265467</w:t>
            </w:r>
          </w:p>
        </w:tc>
        <w:tc>
          <w:tcPr>
            <w:tcW w:type="dxa" w:w="1656"/>
            <w:vAlign w:val="center"/>
          </w:tcPr>
          <w:p>
            <w:r>
              <w:t>0.098079</w:t>
            </w:r>
          </w:p>
        </w:tc>
        <w:tc>
          <w:tcPr>
            <w:tcW w:type="dxa" w:w="1656"/>
            <w:vAlign w:val="center"/>
          </w:tcPr>
          <w:p>
            <w:r>
              <w:t>0.199712</w:t>
            </w:r>
          </w:p>
        </w:tc>
        <w:tc>
          <w:tcPr>
            <w:tcW w:type="dxa" w:w="1656"/>
            <w:vAlign w:val="center"/>
          </w:tcPr>
          <w:p>
            <w:r>
              <w:t>1.38020</w:t>
            </w:r>
          </w:p>
        </w:tc>
      </w:tr>
    </w:tbl>
    <w:p>
      <w:r>
        <w:t>Interpretation: FLAN-T5-base led on all three ROUGE metrics and had the lowest mean generation time. DistilBART was slower than FLAN-T5 in this run and had lower ROUGE scores. Qwen had the highest mean generation time. ROUGE measures lexical overlap with reference summaries; it is not a direct factuality measure.</w:t>
      </w:r>
    </w:p>
    <w:p>
      <w:pPr>
        <w:pStyle w:val="Heading1"/>
      </w:pPr>
      <w:r>
        <w:t>4. Quality Review and Failure Analysis</w:t>
      </w:r>
    </w:p>
    <w:p>
      <w:r>
        <w:t>The main evaluation CSV contains the generated summaries and per-example ROUGE scores. Automated lexical-support, name-mismatch, coverage, or readability heuristics should be treated as screening signals only, not as verified human ratings or proof of factual consistency. A low ROUGE score may indicate omitted key information or a paraphrase with low lexical overlap; manual review is needed to distinguish these cases.</w:t>
      </w:r>
    </w:p>
    <w:p>
      <w:r>
        <w:t>Before final submission, manually inspect a representative set of summaries, including low-scoring examples and outputs from each model. Check factual support against the dialogue, speaker attribution, preservation of key events, repetition, and whether the output follows the intended summary format.</w:t>
      </w:r>
    </w:p>
    <w:p>
      <w:pPr>
        <w:pStyle w:val="Heading1"/>
      </w:pPr>
      <w:r>
        <w:t>5. Conclusion</w:t>
      </w:r>
    </w:p>
    <w:p>
      <w:r>
        <w:t>Among the three tested configurations, FLAN-T5-base is the strongest preliminary choice based on the measured ROUGE scores and mean generation time. The conclusion is limited to this 50-sample evaluation, this CPU environment, and the tested input formats. Further human evaluation is needed before making strong claims about factual consistency or overall summary quality.</w:t>
      </w:r>
    </w:p>
    <w:p>
      <w:pPr>
        <w:pStyle w:val="Heading1"/>
      </w:pPr>
      <w:r>
        <w:t>6. Limitations and Reproducibility</w:t>
      </w:r>
    </w:p>
    <w:p>
      <w:pPr>
        <w:pStyle w:val="ListBullet"/>
      </w:pPr>
      <w:r>
        <w:t>The evaluation contains 50 samples; results may vary with a different sample or seed.</w:t>
      </w:r>
    </w:p>
    <w:p>
      <w:pPr>
        <w:pStyle w:val="ListBullet"/>
      </w:pPr>
      <w:r>
        <w:t>The model input formats are not identical, so the experiment does not isolate architecture as the only variable.</w:t>
      </w:r>
    </w:p>
    <w:p>
      <w:pPr>
        <w:pStyle w:val="ListBullet"/>
      </w:pPr>
      <w:r>
        <w:t>Generation times depend on hardware, software versions, model loading, and runtime conditions.</w:t>
      </w:r>
    </w:p>
    <w:p>
      <w:pPr>
        <w:pStyle w:val="ListBullet"/>
      </w:pPr>
      <w:r>
        <w:t>ROUGE does not directly measure factual consistency, speaker attribution, or usefulness.</w:t>
      </w:r>
    </w:p>
    <w:p>
      <w:pPr>
        <w:pStyle w:val="ListBullet"/>
      </w:pPr>
      <w:r>
        <w:t>The manifest and raw CSV should be retained so the evaluation can be reproduced and audited.</w:t>
      </w:r>
    </w:p>
    <w:p>
      <w:pPr>
        <w:pStyle w:val="Heading1"/>
      </w:pPr>
      <w:r>
        <w:t>7. Output Files</w:t>
      </w:r>
    </w:p>
    <w:p>
      <w:pPr>
        <w:pStyle w:val="ListBullet"/>
      </w:pPr>
      <w:r>
        <w:t>outputs/model_comparison_50_samples/model_family_comparison.csv</w:t>
      </w:r>
    </w:p>
    <w:p>
      <w:pPr>
        <w:pStyle w:val="ListBullet"/>
      </w:pPr>
      <w:r>
        <w:t>outputs/model_comparison_50_samples/model_family_comparison.json</w:t>
      </w:r>
    </w:p>
    <w:p>
      <w:pPr>
        <w:pStyle w:val="ListBullet"/>
      </w:pPr>
      <w:r>
        <w:t>outputs/model_comparison_50_samples/model_family_metrics.csv</w:t>
      </w:r>
    </w:p>
    <w:p>
      <w:pPr>
        <w:pStyle w:val="ListBullet"/>
      </w:pPr>
      <w:r>
        <w:t>outputs/model_comparison_50_samples/sample_manifest.json</w:t>
      </w:r>
    </w:p>
    <w:p>
      <w:pPr>
        <w:pStyle w:val="ListBullet"/>
      </w:pPr>
      <w:r>
        <w:t>src/run_model_family_comparison_50.py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