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&amp; DECISION LOG</w:t>
      </w:r>
    </w:p>
    <w:p>
      <w:pPr>
        <w:jc w:val="center"/>
      </w:pPr>
      <w:r>
        <w:rPr>
          <w:i/>
          <w:color w:val="5A6473"/>
        </w:rPr>
        <w:t>Reusable recording templates • fill with actual evidence</w:t>
      </w:r>
    </w:p>
    <w:p>
      <w:r>
        <w:t>Project: SAMSum-Based Intelligent Conversation Summarization and Action-Item Extraction</w:t>
      </w:r>
    </w:p>
    <w:p>
      <w:r>
        <w:t>Document status: Version 0.2 — updated 15 October 2026</w:t>
      </w:r>
    </w:p>
    <w:p>
      <w:r>
        <w:t>Working rule: Record proposed choices as proposed until the team verifies them. Never report unrun experiments as results.</w:t>
      </w:r>
    </w:p>
    <w:p>
      <w:pPr>
        <w:pStyle w:val="Heading1"/>
      </w:pPr>
      <w:r>
        <w:t>A. Experiment run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5F2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5F2"/>
            <w:vAlign w:val="center"/>
          </w:tcPr>
          <w:p>
            <w:r>
              <w:rPr>
                <w:b/>
              </w:rPr>
              <w:t>What to record</w:t>
            </w:r>
          </w:p>
        </w:tc>
      </w:tr>
      <w:tr>
        <w:tc>
          <w:tcPr>
            <w:tcW w:type="dxa" w:w="5040"/>
            <w:vAlign w:val="center"/>
          </w:tcPr>
          <w:p>
            <w:r>
              <w:t>Run ID</w:t>
            </w:r>
          </w:p>
        </w:tc>
        <w:tc>
          <w:tcPr>
            <w:tcW w:type="dxa" w:w="5040"/>
            <w:vAlign w:val="center"/>
          </w:tcPr>
          <w:p>
            <w:r>
              <w:t>E1-01, E2-03, etc.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Date / owner</w:t>
            </w:r>
          </w:p>
        </w:tc>
        <w:tc>
          <w:tcPr>
            <w:tcW w:type="dxa" w:w="5040"/>
            <w:vAlign w:val="center"/>
          </w:tcPr>
          <w:p>
            <w:r>
              <w:t>Actual date, owner, reviewer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 commit</w:t>
            </w:r>
          </w:p>
        </w:tc>
        <w:tc>
          <w:tcPr>
            <w:tcW w:type="dxa" w:w="5040"/>
            <w:vAlign w:val="center"/>
          </w:tcPr>
          <w:p>
            <w:r>
              <w:t>Commit hash used for the run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Dataset</w:t>
            </w:r>
          </w:p>
        </w:tc>
        <w:tc>
          <w:tcPr>
            <w:tcW w:type="dxa" w:w="5040"/>
            <w:vAlign w:val="center"/>
          </w:tcPr>
          <w:p>
            <w:r>
              <w:t>Source, split, exact sample IDs</w:t>
            </w:r>
          </w:p>
        </w:tc>
      </w:tr>
      <w:tr>
        <w:tc>
          <w:tcPr>
            <w:tcW w:type="dxa" w:w="5040"/>
            <w:vAlign w:val="center"/>
          </w:tcPr>
          <w:p>
            <w:r>
              <w:t>Model</w:t>
            </w:r>
          </w:p>
        </w:tc>
        <w:tc>
          <w:tcPr>
            <w:tcW w:type="dxa" w:w="5040"/>
            <w:vAlign w:val="center"/>
          </w:tcPr>
          <w:p>
            <w:r>
              <w:t>Model ID and revision if available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Prompt</w:t>
            </w:r>
          </w:p>
        </w:tc>
        <w:tc>
          <w:tcPr>
            <w:tcW w:type="dxa" w:w="5040"/>
            <w:vAlign w:val="center"/>
          </w:tcPr>
          <w:p>
            <w:r>
              <w:t>Prompt ID/version and full prompt path</w:t>
            </w:r>
          </w:p>
        </w:tc>
      </w:tr>
      <w:tr>
        <w:tc>
          <w:tcPr>
            <w:tcW w:type="dxa" w:w="5040"/>
            <w:vAlign w:val="center"/>
          </w:tcPr>
          <w:p>
            <w:r>
              <w:t>Decoding</w:t>
            </w:r>
          </w:p>
        </w:tc>
        <w:tc>
          <w:tcPr>
            <w:tcW w:type="dxa" w:w="5040"/>
            <w:vAlign w:val="center"/>
          </w:tcPr>
          <w:p>
            <w:r>
              <w:t>do_sample, temperature, top_k, top_p, max_new_tokens, seed where relevant</w:t>
            </w:r>
          </w:p>
        </w:tc>
      </w:tr>
      <w:tr>
        <w:tc>
          <w:tcPr>
            <w:tcW w:type="dxa" w:w="5040"/>
            <w:vAlign w:val="center"/>
          </w:tcPr>
          <w:p>
            <w:r>
              <w:t>Environment</w:t>
            </w:r>
          </w:p>
        </w:tc>
        <w:tc>
          <w:tcPr>
            <w:tcW w:type="dxa" w:w="5040"/>
            <w:vAlign w:val="center"/>
          </w:tcPr>
          <w:p>
            <w:r>
              <w:t>Python version and requirements-lock file/hash</w:t>
            </w:r>
          </w:p>
        </w:tc>
      </w:tr>
      <w:tr>
        <w:tc>
          <w:tcPr>
            <w:tcW w:type="dxa" w:w="5040"/>
            <w:vAlign w:val="center"/>
          </w:tcPr>
          <w:p>
            <w:r>
              <w:t>Output</w:t>
            </w:r>
          </w:p>
        </w:tc>
        <w:tc>
          <w:tcPr>
            <w:tcW w:type="dxa" w:w="5040"/>
            <w:vAlign w:val="center"/>
          </w:tcPr>
          <w:p>
            <w:r>
              <w:t>Path to raw generated output</w:t>
            </w:r>
          </w:p>
        </w:tc>
      </w:tr>
      <w:tr>
        <w:tc>
          <w:tcPr>
            <w:tcW w:type="dxa" w:w="5040"/>
            <w:vAlign w:val="center"/>
          </w:tcPr>
          <w:p>
            <w:r>
              <w:t>Evaluation</w:t>
            </w:r>
          </w:p>
        </w:tc>
        <w:tc>
          <w:tcPr>
            <w:tcW w:type="dxa" w:w="5040"/>
            <w:vAlign w:val="center"/>
          </w:tcPr>
          <w:p>
            <w:r>
              <w:t>Metric values and rubric scores; describe scoring method</w:t>
            </w:r>
          </w:p>
        </w:tc>
      </w:tr>
      <w:tr>
        <w:tc>
          <w:tcPr>
            <w:tcW w:type="dxa" w:w="5040"/>
            <w:vAlign w:val="center"/>
          </w:tcPr>
          <w:p>
            <w:r>
              <w:t>Observation</w:t>
            </w:r>
          </w:p>
        </w:tc>
        <w:tc>
          <w:tcPr>
            <w:tcW w:type="dxa" w:w="5040"/>
            <w:vAlign w:val="center"/>
          </w:tcPr>
          <w:p>
            <w:r>
              <w:t>What happened, including failures</w:t>
            </w:r>
          </w:p>
        </w:tc>
      </w:tr>
      <w:tr>
        <w:tc>
          <w:tcPr>
            <w:tcW w:type="dxa" w:w="5040"/>
            <w:vAlign w:val="center"/>
          </w:tcPr>
          <w:p>
            <w:r>
              <w:t>Decision</w:t>
            </w:r>
          </w:p>
        </w:tc>
        <w:tc>
          <w:tcPr>
            <w:tcW w:type="dxa" w:w="5040"/>
            <w:vAlign w:val="center"/>
          </w:tcPr>
          <w:p>
            <w:r>
              <w:t>Keep/change/reject and why</w:t>
            </w:r>
          </w:p>
        </w:tc>
      </w:tr>
    </w:tbl>
    <w:p>
      <w:pPr>
        <w:pStyle w:val="Heading1"/>
      </w:pPr>
      <w:r>
        <w:t>B. Prompt comparison 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Run ID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Prompt type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Main change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Fixed variables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Sample IDs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Observed quality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440"/>
            <w:vAlign w:val="center"/>
          </w:tcPr>
          <w:p>
            <w:r>
              <w:t>E2-01</w:t>
            </w:r>
          </w:p>
        </w:tc>
        <w:tc>
          <w:tcPr>
            <w:tcW w:type="dxa" w:w="1440"/>
            <w:vAlign w:val="center"/>
          </w:tcPr>
          <w:p>
            <w:r>
              <w:t>Zero-shot</w:t>
            </w:r>
          </w:p>
        </w:tc>
        <w:tc>
          <w:tcPr>
            <w:tcW w:type="dxa" w:w="1440"/>
            <w:vAlign w:val="center"/>
          </w:tcPr>
          <w:p>
            <w:r>
              <w:t>Baseline instruction</w:t>
            </w:r>
          </w:p>
        </w:tc>
        <w:tc>
          <w:tcPr>
            <w:tcW w:type="dxa" w:w="1440"/>
            <w:vAlign w:val="center"/>
          </w:tcPr>
          <w:p>
            <w:r>
              <w:t>Model, decoding, inputs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Pending run</w:t>
            </w:r>
          </w:p>
        </w:tc>
        <w:tc>
          <w:tcPr>
            <w:tcW w:type="dxa" w:w="1440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440"/>
            <w:vAlign w:val="center"/>
          </w:tcPr>
          <w:p>
            <w:r>
              <w:t>E2-02</w:t>
            </w:r>
          </w:p>
        </w:tc>
        <w:tc>
          <w:tcPr>
            <w:tcW w:type="dxa" w:w="1440"/>
            <w:vAlign w:val="center"/>
          </w:tcPr>
          <w:p>
            <w:r>
              <w:t>Few-shot</w:t>
            </w:r>
          </w:p>
        </w:tc>
        <w:tc>
          <w:tcPr>
            <w:tcW w:type="dxa" w:w="1440"/>
            <w:vAlign w:val="center"/>
          </w:tcPr>
          <w:p>
            <w:r>
              <w:t>Add selected examples</w:t>
            </w:r>
          </w:p>
        </w:tc>
        <w:tc>
          <w:tcPr>
            <w:tcW w:type="dxa" w:w="1440"/>
            <w:vAlign w:val="center"/>
          </w:tcPr>
          <w:p>
            <w:r>
              <w:t>Model, decoding, inputs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Pending run</w:t>
            </w:r>
          </w:p>
        </w:tc>
        <w:tc>
          <w:tcPr>
            <w:tcW w:type="dxa" w:w="1440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440"/>
            <w:vAlign w:val="center"/>
          </w:tcPr>
          <w:p>
            <w:r>
              <w:t>E2-03</w:t>
            </w:r>
          </w:p>
        </w:tc>
        <w:tc>
          <w:tcPr>
            <w:tcW w:type="dxa" w:w="1440"/>
            <w:vAlign w:val="center"/>
          </w:tcPr>
          <w:p>
            <w:r>
              <w:t>Role/context</w:t>
            </w:r>
          </w:p>
        </w:tc>
        <w:tc>
          <w:tcPr>
            <w:tcW w:type="dxa" w:w="1440"/>
            <w:vAlign w:val="center"/>
          </w:tcPr>
          <w:p>
            <w:r>
              <w:t>Add role and task context</w:t>
            </w:r>
          </w:p>
        </w:tc>
        <w:tc>
          <w:tcPr>
            <w:tcW w:type="dxa" w:w="1440"/>
            <w:vAlign w:val="center"/>
          </w:tcPr>
          <w:p>
            <w:r>
              <w:t>Model, decoding, inputs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Pending run</w:t>
            </w:r>
          </w:p>
        </w:tc>
        <w:tc>
          <w:tcPr>
            <w:tcW w:type="dxa" w:w="1440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440"/>
            <w:vAlign w:val="center"/>
          </w:tcPr>
          <w:p>
            <w:r>
              <w:t>E2-04</w:t>
            </w:r>
          </w:p>
        </w:tc>
        <w:tc>
          <w:tcPr>
            <w:tcW w:type="dxa" w:w="1440"/>
            <w:vAlign w:val="center"/>
          </w:tcPr>
          <w:p>
            <w:r>
              <w:t>Constraint-based</w:t>
            </w:r>
          </w:p>
        </w:tc>
        <w:tc>
          <w:tcPr>
            <w:tcW w:type="dxa" w:w="1440"/>
            <w:vAlign w:val="center"/>
          </w:tcPr>
          <w:p>
            <w:r>
              <w:t>Add length/faithfulness/JSON constraints</w:t>
            </w:r>
          </w:p>
        </w:tc>
        <w:tc>
          <w:tcPr>
            <w:tcW w:type="dxa" w:w="1440"/>
            <w:vAlign w:val="center"/>
          </w:tcPr>
          <w:p>
            <w:r>
              <w:t>Model, decoding, inputs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Pending run</w:t>
            </w:r>
          </w:p>
        </w:tc>
        <w:tc>
          <w:tcPr>
            <w:tcW w:type="dxa" w:w="1440"/>
            <w:vAlign w:val="center"/>
          </w:tcPr>
          <w:p>
            <w:r>
              <w:t>Pending</w:t>
            </w:r>
          </w:p>
        </w:tc>
      </w:tr>
    </w:tbl>
    <w:p>
      <w:pPr>
        <w:pStyle w:val="Heading1"/>
      </w:pPr>
      <w:r>
        <w:t>C. Decoding comparison 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Run ID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top_k/top_p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Repeat count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Quality / variability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Runtime</w:t>
            </w:r>
          </w:p>
        </w:tc>
      </w:tr>
      <w:tr>
        <w:tc>
          <w:tcPr>
            <w:tcW w:type="dxa" w:w="1440"/>
            <w:vAlign w:val="center"/>
          </w:tcPr>
          <w:p>
            <w:r>
              <w:t>E3-01</w:t>
            </w:r>
          </w:p>
        </w:tc>
        <w:tc>
          <w:tcPr>
            <w:tcW w:type="dxa" w:w="1440"/>
            <w:vAlign w:val="center"/>
          </w:tcPr>
          <w:p>
            <w:r>
              <w:t>Greedy</w:t>
            </w:r>
          </w:p>
        </w:tc>
        <w:tc>
          <w:tcPr>
            <w:tcW w:type="dxa" w:w="1440"/>
            <w:vAlign w:val="center"/>
          </w:tcPr>
          <w:p>
            <w:r>
              <w:t>N/A or framework default</w:t>
            </w:r>
          </w:p>
        </w:tc>
        <w:tc>
          <w:tcPr>
            <w:tcW w:type="dxa" w:w="1440"/>
            <w:vAlign w:val="center"/>
          </w:tcPr>
          <w:p>
            <w:r>
              <w:t>N/A</w:t>
            </w:r>
          </w:p>
        </w:tc>
        <w:tc>
          <w:tcPr>
            <w:tcW w:type="dxa" w:w="1440"/>
            <w:vAlign w:val="center"/>
          </w:tcPr>
          <w:p>
            <w:r>
              <w:t>1</w:t>
            </w:r>
          </w:p>
        </w:tc>
        <w:tc>
          <w:tcPr>
            <w:tcW w:type="dxa" w:w="1440"/>
            <w:vAlign w:val="center"/>
          </w:tcPr>
          <w:p>
            <w:r>
              <w:t>Pending run</w:t>
            </w:r>
          </w:p>
        </w:tc>
        <w:tc>
          <w:tcPr>
            <w:tcW w:type="dxa" w:w="1440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440"/>
            <w:vAlign w:val="center"/>
          </w:tcPr>
          <w:p>
            <w:r>
              <w:t>E3-02</w:t>
            </w:r>
          </w:p>
        </w:tc>
        <w:tc>
          <w:tcPr>
            <w:tcW w:type="dxa" w:w="1440"/>
            <w:vAlign w:val="center"/>
          </w:tcPr>
          <w:p>
            <w:r>
              <w:t>Sampling</w:t>
            </w:r>
          </w:p>
        </w:tc>
        <w:tc>
          <w:tcPr>
            <w:tcW w:type="dxa" w:w="1440"/>
            <w:vAlign w:val="center"/>
          </w:tcPr>
          <w:p>
            <w:r>
              <w:t>0.2</w:t>
            </w:r>
          </w:p>
        </w:tc>
        <w:tc>
          <w:tcPr>
            <w:tcW w:type="dxa" w:w="1440"/>
            <w:vAlign w:val="center"/>
          </w:tcPr>
          <w:p>
            <w:r>
              <w:t>top_p=0.9 (proposed)</w:t>
            </w:r>
          </w:p>
        </w:tc>
        <w:tc>
          <w:tcPr>
            <w:tcW w:type="dxa" w:w="1440"/>
            <w:vAlign w:val="center"/>
          </w:tcPr>
          <w:p>
            <w:r>
              <w:t>3</w:t>
            </w:r>
          </w:p>
        </w:tc>
        <w:tc>
          <w:tcPr>
            <w:tcW w:type="dxa" w:w="1440"/>
            <w:vAlign w:val="center"/>
          </w:tcPr>
          <w:p>
            <w:r>
              <w:t>Pending run</w:t>
            </w:r>
          </w:p>
        </w:tc>
        <w:tc>
          <w:tcPr>
            <w:tcW w:type="dxa" w:w="1440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440"/>
            <w:vAlign w:val="center"/>
          </w:tcPr>
          <w:p>
            <w:r>
              <w:t>E3-03</w:t>
            </w:r>
          </w:p>
        </w:tc>
        <w:tc>
          <w:tcPr>
            <w:tcW w:type="dxa" w:w="1440"/>
            <w:vAlign w:val="center"/>
          </w:tcPr>
          <w:p>
            <w:r>
              <w:t>Sampling</w:t>
            </w:r>
          </w:p>
        </w:tc>
        <w:tc>
          <w:tcPr>
            <w:tcW w:type="dxa" w:w="1440"/>
            <w:vAlign w:val="center"/>
          </w:tcPr>
          <w:p>
            <w:r>
              <w:t>0.7</w:t>
            </w:r>
          </w:p>
        </w:tc>
        <w:tc>
          <w:tcPr>
            <w:tcW w:type="dxa" w:w="1440"/>
            <w:vAlign w:val="center"/>
          </w:tcPr>
          <w:p>
            <w:r>
              <w:t>top_p=0.9 (proposed)</w:t>
            </w:r>
          </w:p>
        </w:tc>
        <w:tc>
          <w:tcPr>
            <w:tcW w:type="dxa" w:w="1440"/>
            <w:vAlign w:val="center"/>
          </w:tcPr>
          <w:p>
            <w:r>
              <w:t>3</w:t>
            </w:r>
          </w:p>
        </w:tc>
        <w:tc>
          <w:tcPr>
            <w:tcW w:type="dxa" w:w="1440"/>
            <w:vAlign w:val="center"/>
          </w:tcPr>
          <w:p>
            <w:r>
              <w:t>Pending run</w:t>
            </w:r>
          </w:p>
        </w:tc>
        <w:tc>
          <w:tcPr>
            <w:tcW w:type="dxa" w:w="1440"/>
            <w:vAlign w:val="center"/>
          </w:tcPr>
          <w:p>
            <w:r>
              <w:t>Pending</w:t>
            </w:r>
          </w:p>
        </w:tc>
      </w:tr>
    </w:tbl>
    <w:p>
      <w:pPr>
        <w:pStyle w:val="Heading1"/>
      </w:pPr>
      <w:r>
        <w:t>D. Failure case 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Failure ID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Input/sample ID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Actual output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440"/>
            <w:vAlign w:val="center"/>
          </w:tcPr>
          <w:p>
            <w:r>
              <w:t>F-01</w:t>
            </w:r>
          </w:p>
        </w:tc>
        <w:tc>
          <w:tcPr>
            <w:tcW w:type="dxa" w:w="1440"/>
            <w:vAlign w:val="center"/>
          </w:tcPr>
          <w:p>
            <w:r>
              <w:t>Hallucinated action item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Capture actual output</w:t>
            </w:r>
          </w:p>
        </w:tc>
        <w:tc>
          <w:tcPr>
            <w:tcW w:type="dxa" w:w="1440"/>
            <w:vAlign w:val="center"/>
          </w:tcPr>
          <w:p>
            <w:r>
              <w:t>Only explicit action items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Prompt/schema/validation/human review</w:t>
            </w:r>
          </w:p>
        </w:tc>
      </w:tr>
      <w:tr>
        <w:tc>
          <w:tcPr>
            <w:tcW w:type="dxa" w:w="1440"/>
            <w:vAlign w:val="center"/>
          </w:tcPr>
          <w:p>
            <w:r>
              <w:t>F-02</w:t>
            </w:r>
          </w:p>
        </w:tc>
        <w:tc>
          <w:tcPr>
            <w:tcW w:type="dxa" w:w="1440"/>
            <w:vAlign w:val="center"/>
          </w:tcPr>
          <w:p>
            <w:r>
              <w:t>Omission / loss of key fact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Capture actual output</w:t>
            </w:r>
          </w:p>
        </w:tc>
        <w:tc>
          <w:tcPr>
            <w:tcW w:type="dxa" w:w="1440"/>
            <w:vAlign w:val="center"/>
          </w:tcPr>
          <w:p>
            <w:r>
              <w:t>Preserve key decisions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Prompt adjustment and rubric</w:t>
            </w:r>
          </w:p>
        </w:tc>
      </w:tr>
      <w:tr>
        <w:tc>
          <w:tcPr>
            <w:tcW w:type="dxa" w:w="1440"/>
            <w:vAlign w:val="center"/>
          </w:tcPr>
          <w:p>
            <w:r>
              <w:t>F-03</w:t>
            </w:r>
          </w:p>
        </w:tc>
        <w:tc>
          <w:tcPr>
            <w:tcW w:type="dxa" w:w="1440"/>
            <w:vAlign w:val="center"/>
          </w:tcPr>
          <w:p>
            <w:r>
              <w:t>Invalid JSON or attribution error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Capture actual output</w:t>
            </w:r>
          </w:p>
        </w:tc>
        <w:tc>
          <w:tcPr>
            <w:tcW w:type="dxa" w:w="1440"/>
            <w:vAlign w:val="center"/>
          </w:tcPr>
          <w:p>
            <w:r>
              <w:t>Schema-valid output / correct speaker</w:t>
            </w:r>
          </w:p>
        </w:tc>
        <w:tc>
          <w:tcPr>
            <w:tcW w:type="dxa" w:w="1440"/>
            <w:vAlign w:val="center"/>
          </w:tcPr>
          <w:p>
            <w:r>
              <w:t>TBD</w:t>
            </w:r>
          </w:p>
        </w:tc>
        <w:tc>
          <w:tcPr>
            <w:tcW w:type="dxa" w:w="1440"/>
            <w:vAlign w:val="center"/>
          </w:tcPr>
          <w:p>
            <w:r>
              <w:t>Parser, schema validation, safe fallback</w:t>
            </w:r>
          </w:p>
        </w:tc>
      </w:tr>
    </w:tbl>
    <w:p>
      <w:pPr>
        <w:pStyle w:val="Heading1"/>
      </w:pPr>
      <w:r>
        <w:t>E. Decision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Decision ID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Alternatives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Rationale/evidence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  <w:shd w:fill="D9E5F2"/>
            <w:vAlign w:val="center"/>
          </w:tcPr>
          <w:p>
            <w:r>
              <w:rPr>
                <w:b/>
              </w:rPr>
              <w:t>Revisit trigger</w:t>
            </w:r>
          </w:p>
        </w:tc>
      </w:tr>
      <w:tr>
        <w:tc>
          <w:tcPr>
            <w:tcW w:type="dxa" w:w="1440"/>
            <w:vAlign w:val="center"/>
          </w:tcPr>
          <w:p>
            <w:r>
              <w:t>D-001</w:t>
            </w:r>
          </w:p>
        </w:tc>
        <w:tc>
          <w:tcPr>
            <w:tcW w:type="dxa" w:w="1440"/>
            <w:vAlign w:val="center"/>
          </w:tcPr>
          <w:p>
            <w:r>
              <w:t>15 Oct 2026</w:t>
            </w:r>
          </w:p>
        </w:tc>
        <w:tc>
          <w:tcPr>
            <w:tcW w:type="dxa" w:w="1440"/>
            <w:vAlign w:val="center"/>
          </w:tcPr>
          <w:p>
            <w:r>
              <w:t>Use SAMSum as the project dataset (confirm files)</w:t>
            </w:r>
          </w:p>
        </w:tc>
        <w:tc>
          <w:tcPr>
            <w:tcW w:type="dxa" w:w="1440"/>
            <w:vAlign w:val="center"/>
          </w:tcPr>
          <w:p>
            <w:r>
              <w:t>AG News or another dataset</w:t>
            </w:r>
          </w:p>
        </w:tc>
        <w:tc>
          <w:tcPr>
            <w:tcW w:type="dxa" w:w="1440"/>
            <w:vAlign w:val="center"/>
          </w:tcPr>
          <w:p>
            <w:r>
              <w:t>Project direction already selected; chat dialogues align with summary/action extraction</w:t>
            </w:r>
          </w:p>
        </w:tc>
        <w:tc>
          <w:tcPr>
            <w:tcW w:type="dxa" w:w="1440"/>
            <w:vAlign w:val="center"/>
          </w:tcPr>
          <w:p>
            <w:r>
              <w:t>Team</w:t>
            </w:r>
          </w:p>
        </w:tc>
        <w:tc>
          <w:tcPr>
            <w:tcW w:type="dxa" w:w="1440"/>
            <w:vAlign w:val="center"/>
          </w:tcPr>
          <w:p>
            <w:r>
              <w:t>If rubric or data access blocks use</w:t>
            </w:r>
          </w:p>
        </w:tc>
      </w:tr>
      <w:tr>
        <w:tc>
          <w:tcPr>
            <w:tcW w:type="dxa" w:w="1440"/>
            <w:vAlign w:val="center"/>
          </w:tcPr>
          <w:p>
            <w:r>
              <w:t>D-002</w:t>
            </w:r>
          </w:p>
        </w:tc>
        <w:tc>
          <w:tcPr>
            <w:tcW w:type="dxa" w:w="1440"/>
            <w:vAlign w:val="center"/>
          </w:tcPr>
          <w:p>
            <w:r>
              <w:t>15 Oct 2026</w:t>
            </w:r>
          </w:p>
        </w:tc>
        <w:tc>
          <w:tcPr>
            <w:tcW w:type="dxa" w:w="1440"/>
            <w:vAlign w:val="center"/>
          </w:tcPr>
          <w:p>
            <w:r>
              <w:t>Test Qwen2.5-1.5B-Instruct as candidate baseline</w:t>
            </w:r>
          </w:p>
        </w:tc>
        <w:tc>
          <w:tcPr>
            <w:tcW w:type="dxa" w:w="1440"/>
            <w:vAlign w:val="center"/>
          </w:tcPr>
          <w:p>
            <w:r>
              <w:t>Other small causal LMs</w:t>
            </w:r>
          </w:p>
        </w:tc>
        <w:tc>
          <w:tcPr>
            <w:tcW w:type="dxa" w:w="1440"/>
            <w:vAlign w:val="center"/>
          </w:tcPr>
          <w:p>
            <w:r>
              <w:t>Instruction-tuned causal LM; small enough to pilot, but CPU performance must be measured</w:t>
            </w:r>
          </w:p>
        </w:tc>
        <w:tc>
          <w:tcPr>
            <w:tcW w:type="dxa" w:w="1440"/>
            <w:vAlign w:val="center"/>
          </w:tcPr>
          <w:p>
            <w:r>
              <w:t>Model owner</w:t>
            </w:r>
          </w:p>
        </w:tc>
        <w:tc>
          <w:tcPr>
            <w:tcW w:type="dxa" w:w="1440"/>
            <w:vAlign w:val="center"/>
          </w:tcPr>
          <w:p>
            <w:r>
              <w:t>If model load or latency fails</w:t>
            </w:r>
          </w:p>
        </w:tc>
      </w:tr>
    </w:tbl>
    <w:p>
      <w:pPr>
        <w:pStyle w:val="Heading1"/>
      </w:pPr>
      <w:r>
        <w:t>F. Rules for honest reporting</w:t>
      </w:r>
    </w:p>
    <w:p>
      <w:pPr>
        <w:pStyle w:val="ListBullet"/>
      </w:pPr>
      <w:r>
        <w:t>Never replace 'Pending run' with a guessed score.</w:t>
      </w:r>
    </w:p>
    <w:p>
      <w:pPr>
        <w:pStyle w:val="ListBullet"/>
      </w:pPr>
      <w:r>
        <w:t>Record negative and inconclusive results; they are useful evidence.</w:t>
      </w:r>
    </w:p>
    <w:p>
      <w:pPr>
        <w:pStyle w:val="ListBullet"/>
      </w:pPr>
      <w:r>
        <w:t>If a prompt or model changes, create a new run ID rather than overwriting prior results.</w:t>
      </w:r>
    </w:p>
    <w:p>
      <w:pPr>
        <w:pStyle w:val="ListBullet"/>
      </w:pPr>
      <w:r>
        <w:t>Separate automatic metric results from human judgments.</w:t>
      </w:r>
    </w:p>
    <w:p>
      <w:pPr>
        <w:pStyle w:val="ListBullet"/>
      </w:pPr>
      <w:r>
        <w:t>Keep final test-set results separate from prompt-selection results.</w:t>
      </w:r>
    </w:p>
    <w:p>
      <w:r>
        <w:br w:type="page"/>
      </w:r>
    </w:p>
    <w:p>
      <w:pPr>
        <w:pStyle w:val="Heading1"/>
      </w:pPr>
      <w:r>
        <w:t>Update 002 — Verified Windows Environment and D: Drive Status</w:t>
      </w:r>
    </w:p>
    <w:p>
      <w:r>
        <w:t>Status recorded on 15 October 2026 from the user's PowerShell outputs. This section supersedes earlier proposed setup values where they differ, while preserving earlier baseline observations as historical records.</w:t>
      </w:r>
    </w:p>
    <w:p>
      <w:pPr>
        <w:pStyle w:val="Heading2"/>
      </w:pPr>
      <w:r>
        <w:t>Verified machine and repository</w:t>
      </w:r>
    </w:p>
    <w:p>
      <w:pPr>
        <w:pStyle w:val="ListBullet"/>
      </w:pPr>
      <w:r>
        <w:t>Project root: D:\BITS-Projects\samsum-generative-ai-project_grp_19</w:t>
      </w:r>
    </w:p>
    <w:p>
      <w:pPr>
        <w:pStyle w:val="ListBullet"/>
      </w:pPr>
      <w:r>
        <w:t>Laptop: Lenovo IdeaPad Slim 5; Intel Core Ultra 5 125H; 16 GB RAM; 1 TB SSD; Windows.</w:t>
      </w:r>
    </w:p>
    <w:p>
      <w:pPr>
        <w:pStyle w:val="ListBullet"/>
      </w:pPr>
      <w:r>
        <w:t>Available D: drive space at the latest check: 173.41 GB free.</w:t>
      </w:r>
    </w:p>
    <w:p>
      <w:pPr>
        <w:pStyle w:val="ListBullet"/>
      </w:pPr>
      <w:r>
        <w:t>Git repository: samsum-generative-ai-project_grp_19; branch main; latest commit bc1b6bd (Initial commit); branch up to date with origin/main.</w:t>
      </w:r>
    </w:p>
    <w:p>
      <w:pPr>
        <w:pStyle w:val="ListBullet"/>
      </w:pPr>
      <w:r>
        <w:t>Python executable: D:\BITS-Projects\samsum-generative-ai-project_grp_19\.venv\Scripts\python.exe</w:t>
      </w:r>
    </w:p>
    <w:p>
      <w:pPr>
        <w:pStyle w:val="ListBullet"/>
      </w:pPr>
      <w:r>
        <w:t>Python version: 3.13.9 (Anaconda-packaged interpreter used to create the repository-local virtual environment).</w:t>
      </w:r>
    </w:p>
    <w:p>
      <w:pPr>
        <w:pStyle w:val="ListBullet"/>
      </w:pPr>
      <w:r>
        <w:t>CPU-only PyTorch: 2.13.0+cpu; torch.cuda.is_available() returned False.</w:t>
      </w:r>
    </w:p>
    <w:p>
      <w:pPr>
        <w:pStyle w:val="ListBullet"/>
      </w:pPr>
      <w:r>
        <w:t>Verified package versions: NumPy 2.5.4; pandas 3.0.6; Transformers 5.19.0; Accelerate 1.15.0; jsonschema 4.26.0; rouge-score 0.1.2; Jupyter 1.1.1; ipykernel 7.4.0; matplotlib 3.11.2; scikit-learn 1.9.1; huggingface-hub 2.2.0.</w:t>
      </w:r>
    </w:p>
    <w:p>
      <w:pPr>
        <w:pStyle w:val="ListBullet"/>
      </w:pPr>
      <w:r>
        <w:t>Verification: imports succeeded for torch, numpy, pandas, transformers, accelerate, and jsonschema; tensor test returned [6, 8]; pip check returned 'No broken requirements found.'</w:t>
      </w:r>
    </w:p>
    <w:p>
      <w:pPr>
        <w:pStyle w:val="ListBullet"/>
      </w:pPr>
      <w:r>
        <w:t>requirements-lock.txt was created in the D: project root using pip freeze. It is currently untracked in Git; review it and add it to Git only after confirming .gitignore excludes .venv and generated caches.</w:t>
      </w:r>
    </w:p>
    <w:p>
      <w:pPr>
        <w:pStyle w:val="ListBullet"/>
      </w:pPr>
      <w:r>
        <w:t>Jupyter kernel name: samsum-generative-ai; display name: Python (SAMSum Project). The kernel.json is stored under %APPDATA% on C:, which is normal, and its argv points to the Python executable under the D: project root.</w:t>
      </w:r>
    </w:p>
    <w:p>
      <w:pPr>
        <w:pStyle w:val="ListBullet"/>
      </w:pPr>
      <w:r>
        <w:t>The destination copy's Git repository is accessible. A previous Move-Item attempt hit a permission error on the original C: .git folder. Do not delete the original C: folder until the D: copy and any needed files have been checked.</w:t>
      </w:r>
    </w:p>
    <w:p>
      <w:pPr>
        <w:pStyle w:val="Heading2"/>
      </w:pPr>
      <w:r>
        <w:t>Commands verified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Set-Location "D:\BITS-Projects\samsum-generative-ai-project_grp_19"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"import sys; print(sys.executable); print(sys.version)"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"import torch, numpy, pandas, transformers, accelerate; print(torch.__version__, numpy.__version__, pandas.__version__, transformers.__version__, accelerate.__version__)"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-m pip check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Get-Content "$env:APPDATA\jupyter\kernels\samsum-generative-ai\kernel.json"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git -C "D:\BITS-Projects\samsum-generative-ai-project_grp_19" status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git -C "D:\BITS-Projects\samsum-generative-ai-project_grp_19" log -1 --oneline</w:t>
      </w:r>
    </w:p>
    <w:p>
      <w:pPr>
        <w:pStyle w:val="Heading2"/>
      </w:pPr>
      <w:r>
        <w:t>Not yet verified — do not report as completed</w:t>
      </w:r>
    </w:p>
    <w:p>
      <w:pPr>
        <w:pStyle w:val="ListBullet"/>
      </w:pPr>
      <w:r>
        <w:t>Qwen/Qwen2.5-1.5B-Instruct repository access check has not yet been run.</w:t>
      </w:r>
    </w:p>
    <w:p>
      <w:pPr>
        <w:pStyle w:val="ListBullet"/>
      </w:pPr>
      <w:r>
        <w:t>Model download, tokenizer/model loading, and text generation have not yet been tested.</w:t>
      </w:r>
    </w:p>
    <w:p>
      <w:pPr>
        <w:pStyle w:val="ListBullet"/>
      </w:pPr>
      <w:r>
        <w:t>SAMSum CSV files have not yet been confirmed inside the D: project repository.</w:t>
      </w:r>
    </w:p>
    <w:p>
      <w:pPr>
        <w:pStyle w:val="ListBullet"/>
      </w:pPr>
      <w:r>
        <w:t>No summarization quality, ROUGE score, latency, memory use, or final test-set result has been measured.</w:t>
      </w:r>
    </w:p>
    <w:p>
      <w:pPr>
        <w:pStyle w:val="ListBullet"/>
      </w:pPr>
      <w:r>
        <w:t>Confirm .gitignore exists and excludes .venv/, model caches, secrets, and generated artifacts before staging files.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