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Model-Family Comparison and Evaluation</w:t>
      </w:r>
    </w:p>
    <w:p>
      <w:r>
        <w:t>Project: SAMSum-Based Intelligent Conversation Summarization and Action-Item Extraction</w:t>
      </w:r>
    </w:p>
    <w:p>
      <w:r>
        <w:t>Evaluation scope: 50 dialogues evaluated with three pretrained models (150 generated summaries).</w:t>
      </w:r>
    </w:p>
    <w:p>
      <w:pPr>
        <w:pStyle w:val="Heading1"/>
      </w:pPr>
      <w:r>
        <w:t>Method</w:t>
      </w:r>
    </w:p>
    <w:p>
      <w:r>
        <w:t>The experiment compares Qwen/Qwen2.5-1.5B-Instruct, google/flan-t5-base, and sshleifer/distilbart-cnn-12-6 on 50 dialogue IDs. The supplied scored results were joined to the corresponding SAMSum dialogues using sample IDs. The set contains the three previously selected pilot examples plus 47 additional examples sampled from the test CSV; the pilot examples came from training data. Consequently, this is a mixed-source evaluation subset and should not be described as a completely untouched held-out test set.</w:t>
      </w:r>
    </w:p>
    <w:p>
      <w:r>
        <w:t>The models were not given identical input formats: Qwen used a chat template, FLAN-T5 used a constraint-based prompt, and DistilBART received dialogue-only input. Therefore, the measured results compare the tested model-and-input configurations rather than isolating architecture as the only variable. Generation used greedy decoding with a 50-token new-output limit in the recorded experiment.</w:t>
      </w:r>
    </w:p>
    <w:p>
      <w:pPr>
        <w:pStyle w:val="Heading1"/>
      </w:pPr>
      <w:r>
        <w:t>Quantitative results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ROUGE-1</w:t>
            </w:r>
          </w:p>
        </w:tc>
        <w:tc>
          <w:tcPr>
            <w:tcW w:type="dxa" w:w="1440"/>
          </w:tcPr>
          <w:p>
            <w:r>
              <w:t>ROUGE-2</w:t>
            </w:r>
          </w:p>
        </w:tc>
        <w:tc>
          <w:tcPr>
            <w:tcW w:type="dxa" w:w="1440"/>
          </w:tcPr>
          <w:p>
            <w:r>
              <w:t>ROUGE-L</w:t>
            </w:r>
          </w:p>
        </w:tc>
        <w:tc>
          <w:tcPr>
            <w:tcW w:type="dxa" w:w="1440"/>
          </w:tcPr>
          <w:p>
            <w:r>
              <w:t>Mean seconds/sample</w:t>
            </w:r>
          </w:p>
        </w:tc>
        <w:tc>
          <w:tcPr>
            <w:tcW w:type="dxa" w:w="1440"/>
          </w:tcPr>
          <w:p>
            <w:r>
              <w:t>Mean generated words</w:t>
            </w:r>
          </w:p>
        </w:tc>
      </w:tr>
      <w:tr>
        <w:tc>
          <w:tcPr>
            <w:tcW w:type="dxa" w:w="1440"/>
          </w:tcPr>
          <w:p>
            <w:r>
              <w:t>Qwen/Qwen2.5-1.5B-Instruct</w:t>
            </w:r>
          </w:p>
        </w:tc>
        <w:tc>
          <w:tcPr>
            <w:tcW w:type="dxa" w:w="1440"/>
          </w:tcPr>
          <w:p>
            <w:r>
              <w:t>0.3613</w:t>
            </w:r>
          </w:p>
        </w:tc>
        <w:tc>
          <w:tcPr>
            <w:tcW w:type="dxa" w:w="1440"/>
          </w:tcPr>
          <w:p>
            <w:r>
              <w:t>0.0921</w:t>
            </w:r>
          </w:p>
        </w:tc>
        <w:tc>
          <w:tcPr>
            <w:tcW w:type="dxa" w:w="1440"/>
          </w:tcPr>
          <w:p>
            <w:r>
              <w:t>0.2705</w:t>
            </w:r>
          </w:p>
        </w:tc>
        <w:tc>
          <w:tcPr>
            <w:tcW w:type="dxa" w:w="1440"/>
          </w:tcPr>
          <w:p>
            <w:r>
              <w:t>1.423</w:t>
            </w:r>
          </w:p>
        </w:tc>
        <w:tc>
          <w:tcPr>
            <w:tcW w:type="dxa" w:w="1440"/>
          </w:tcPr>
          <w:p>
            <w:r>
              <w:t>31.5</w:t>
            </w:r>
          </w:p>
        </w:tc>
      </w:tr>
      <w:tr>
        <w:tc>
          <w:tcPr>
            <w:tcW w:type="dxa" w:w="1440"/>
          </w:tcPr>
          <w:p>
            <w:r>
              <w:t>google/flan-t5-base</w:t>
            </w:r>
          </w:p>
        </w:tc>
        <w:tc>
          <w:tcPr>
            <w:tcW w:type="dxa" w:w="1440"/>
          </w:tcPr>
          <w:p>
            <w:r>
              <w:t>0.4938</w:t>
            </w:r>
          </w:p>
        </w:tc>
        <w:tc>
          <w:tcPr>
            <w:tcW w:type="dxa" w:w="1440"/>
          </w:tcPr>
          <w:p>
            <w:r>
              <w:t>0.2332</w:t>
            </w:r>
          </w:p>
        </w:tc>
        <w:tc>
          <w:tcPr>
            <w:tcW w:type="dxa" w:w="1440"/>
          </w:tcPr>
          <w:p>
            <w:r>
              <w:t>0.4171</w:t>
            </w:r>
          </w:p>
        </w:tc>
        <w:tc>
          <w:tcPr>
            <w:tcW w:type="dxa" w:w="1440"/>
          </w:tcPr>
          <w:p>
            <w:r>
              <w:t>0.462</w:t>
            </w:r>
          </w:p>
        </w:tc>
        <w:tc>
          <w:tcPr>
            <w:tcW w:type="dxa" w:w="1440"/>
          </w:tcPr>
          <w:p>
            <w:r>
              <w:t>15.9</w:t>
            </w:r>
          </w:p>
        </w:tc>
      </w:tr>
      <w:tr>
        <w:tc>
          <w:tcPr>
            <w:tcW w:type="dxa" w:w="1440"/>
          </w:tcPr>
          <w:p>
            <w:r>
              <w:t>sshleifer/distilbart-cnn-12-6</w:t>
            </w:r>
          </w:p>
        </w:tc>
        <w:tc>
          <w:tcPr>
            <w:tcW w:type="dxa" w:w="1440"/>
          </w:tcPr>
          <w:p>
            <w:r>
              <w:t>0.2992</w:t>
            </w:r>
          </w:p>
        </w:tc>
        <w:tc>
          <w:tcPr>
            <w:tcW w:type="dxa" w:w="1440"/>
          </w:tcPr>
          <w:p>
            <w:r>
              <w:t>0.0986</w:t>
            </w:r>
          </w:p>
        </w:tc>
        <w:tc>
          <w:tcPr>
            <w:tcW w:type="dxa" w:w="1440"/>
          </w:tcPr>
          <w:p>
            <w:r>
              <w:t>0.2340</w:t>
            </w:r>
          </w:p>
        </w:tc>
        <w:tc>
          <w:tcPr>
            <w:tcW w:type="dxa" w:w="1440"/>
          </w:tcPr>
          <w:p>
            <w:r>
              <w:t>0.269</w:t>
            </w:r>
          </w:p>
        </w:tc>
        <w:tc>
          <w:tcPr>
            <w:tcW w:type="dxa" w:w="1440"/>
          </w:tcPr>
          <w:p>
            <w:r>
              <w:t>28.8</w:t>
            </w:r>
          </w:p>
        </w:tc>
      </w:tr>
    </w:tbl>
    <w:p>
      <w:r>
        <w:t>FLAN-T5-base achieved the highest mean ROUGE-1 (0.4938), ROUGE-2 (0.2332), and ROUGE-L (0.4171) in this run. Its mean generation time was approximately 0.462 seconds per sample. DistilBART was fastest (approximately 0.269 seconds per sample) but had the lowest ROUGE-1 and ROUGE-L. Qwen was slowest (approximately 1.423 seconds per sample) and scored between the other models on ROUGE-1 and ROUGE-L. These values are descriptive results for this sample and setup, not proof of universal model superiority.</w:t>
      </w:r>
    </w:p>
    <w:p>
      <w:pPr>
        <w:pStyle w:val="Heading1"/>
      </w:pPr>
      <w:r>
        <w:t>Quality screening and failure analysis</w:t>
      </w:r>
    </w:p>
    <w:p>
      <w:r>
        <w:t>An additional automated screening sheet records lexical overlap between generated summaries and dialogue, ROUGE-based reference-coverage bands, simple readability risk indicators, possible name mismatches, and review priorities. These are triage heuristics only. Lexical overlap can penalize valid paraphrases and can fail to detect semantically unsupported claims; the name detector can also produce false positives. Speaker attribution and factual consistency must not be presented as fully validated by these heuristics.</w:t>
      </w:r>
    </w:p>
    <w:p>
      <w:r>
        <w:t>The Failure Cases worksheet includes concrete low-ROUGE outputs for inspection. For example, on sample 13821684, the reference says Edson is booking a ticket, whereas DistilBART produces a statement about Joyce checking a link and an author being excited about a free flight. On sample 13731040, the reference describes Tina's flight and Ala's meeting, while DistilBART focuses on the airline staff's appearance. On sample 13730711, the reference says Alex prefers the Flash, but DistilBART emits repetitive, malformed text about Batman and Superman. These examples show that the fastest model did not consistently preserve the main event in the reference.</w:t>
      </w:r>
    </w:p>
    <w:p>
      <w:pPr>
        <w:pStyle w:val="Heading1"/>
      </w:pPr>
      <w:r>
        <w:t>Conclusion</w:t>
      </w:r>
    </w:p>
    <w:p>
      <w:r>
        <w:t>Among the three tested configurations, FLAN-T5-base is the best preliminary choice based on the supplied ROUGE scores and its relatively low latency. DistilBART may be useful where latency is the overriding constraint, but the observed low-overlap examples indicate a quality trade-off. Qwen offers instruction-tuned generation flexibility but was slower in this environment and produced longer summaries on average. The conclusion should remain qualified because the models used different input formats, the evaluation subset mixes three training-split pilot examples with 47 test-split examples, and ROUGE does not measure factuality directly.</w:t>
      </w:r>
    </w:p>
    <w:p>
      <w:pPr>
        <w:pStyle w:val="Heading1"/>
      </w:pPr>
      <w:r>
        <w:t>Limitations and reporting note</w:t>
      </w:r>
    </w:p>
    <w:p>
      <w:r>
        <w:t>Do not describe automated screening bands as independent human ratings. Before final submission, manually verify at least the three documented failure cases and a small selection of flagged rows for factual support, speaker attribution, and important-information coverage. Report the 50-sample size transparently; do not claim that it guarantees no mark deductions.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