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54" w:lineRule="auto" w:before="1448" w:after="0"/>
        <w:ind w:left="1440" w:right="1872" w:firstLine="0"/>
        <w:jc w:val="left"/>
      </w:pPr>
      <w:r>
        <w:rPr>
          <w:rFonts w:ascii="Arial" w:hAnsi="Arial" w:eastAsia="Arial"/>
          <w:b/>
          <w:i w:val="0"/>
          <w:color w:val="FF0000"/>
          <w:sz w:val="22"/>
        </w:rPr>
        <w:t xml:space="preserve">Kablolu veya kablosuz herhangi bir haberleşme sisteminin standartlaşma sürecini </w:t>
      </w:r>
      <w:r>
        <w:rPr>
          <w:rFonts w:ascii="Arial" w:hAnsi="Arial" w:eastAsia="Arial"/>
          <w:b/>
          <w:i w:val="0"/>
          <w:color w:val="FF0000"/>
          <w:sz w:val="22"/>
        </w:rPr>
        <w:t>örnekleriyle anlatınızZ</w:t>
      </w:r>
    </w:p>
    <w:p>
      <w:pPr>
        <w:autoSpaceDN w:val="0"/>
        <w:autoSpaceDE w:val="0"/>
        <w:widowControl/>
        <w:spacing w:line="233" w:lineRule="auto" w:before="62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hızla gelişen mobil haberleşme teknolojilerinden olan hücresel haberleşme sistemleri</w:t>
      </w:r>
    </w:p>
    <w:p>
      <w:pPr>
        <w:autoSpaceDN w:val="0"/>
        <w:autoSpaceDE w:val="0"/>
        <w:widowControl/>
        <w:spacing w:line="233" w:lineRule="auto" w:before="336" w:after="602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Birinci Nesil (1G) TEKNOLOJİLER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3973"/>
        <w:gridCol w:w="3973"/>
        <w:gridCol w:w="3973"/>
      </w:tblGrid>
      <w:tr>
        <w:trPr>
          <w:trHeight w:hRule="exact" w:val="480"/>
        </w:trPr>
        <w:tc>
          <w:tcPr>
            <w:tcW w:type="dxa" w:w="3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AD</w:t>
            </w:r>
          </w:p>
        </w:tc>
        <w:tc>
          <w:tcPr>
            <w:tcW w:type="dxa" w:w="3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SOYAD</w:t>
            </w:r>
          </w:p>
        </w:tc>
        <w:tc>
          <w:tcPr>
            <w:tcW w:type="dxa" w:w="3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YAŞ</w:t>
            </w:r>
          </w:p>
        </w:tc>
      </w:tr>
      <w:tr>
        <w:trPr>
          <w:trHeight w:hRule="exact" w:val="480"/>
        </w:trPr>
        <w:tc>
          <w:tcPr>
            <w:tcW w:type="dxa" w:w="3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Firuze</w:t>
            </w:r>
          </w:p>
        </w:tc>
        <w:tc>
          <w:tcPr>
            <w:tcW w:type="dxa" w:w="3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Erdemir</w:t>
            </w:r>
          </w:p>
        </w:tc>
        <w:tc>
          <w:tcPr>
            <w:tcW w:type="dxa" w:w="3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24</w:t>
            </w:r>
          </w:p>
        </w:tc>
      </w:tr>
      <w:tr>
        <w:trPr>
          <w:trHeight w:hRule="exact" w:val="480"/>
        </w:trPr>
        <w:tc>
          <w:tcPr>
            <w:tcW w:type="dxa" w:w="3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Ali</w:t>
            </w:r>
          </w:p>
        </w:tc>
        <w:tc>
          <w:tcPr>
            <w:tcW w:type="dxa" w:w="3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Nizam</w:t>
            </w:r>
          </w:p>
        </w:tc>
        <w:tc>
          <w:tcPr>
            <w:tcW w:type="dxa" w:w="3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43</w:t>
            </w:r>
          </w:p>
        </w:tc>
      </w:tr>
    </w:tbl>
    <w:p>
      <w:pPr>
        <w:autoSpaceDN w:val="0"/>
        <w:autoSpaceDE w:val="0"/>
        <w:widowControl/>
        <w:spacing w:line="269" w:lineRule="auto" w:before="59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Tamamıyla analog sistemler olan birinci nesil mobil haberleşme sistemleri abone kapasitesi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düşük, güvenlik ve performans açısından çok zayıf sistemler olarak anılmıştır. Bu teknikler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oldukça düşük servis kalitesi ve verimsiz frekans spektrumu kullanımı gibi dezavantajlara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sahiptir. 1G teknolojisinin, ses kalitesi, kapasite ve kapsama alanı gibi artan kullanıcı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taleplerine cevap verememesi, yarı iletken ve mikrodalga teknolojilerinin gelişmesi ile birlikte </w:t>
      </w:r>
      <w:r>
        <w:rPr>
          <w:rFonts w:ascii="Arial" w:hAnsi="Arial" w:eastAsia="Arial"/>
          <w:b w:val="0"/>
          <w:i w:val="0"/>
          <w:color w:val="000000"/>
          <w:sz w:val="22"/>
        </w:rPr>
        <w:t>2G teknolojileri kaçınılmaz olarak gündeme gelmiştir</w:t>
      </w:r>
    </w:p>
    <w:p>
      <w:pPr>
        <w:autoSpaceDN w:val="0"/>
        <w:autoSpaceDE w:val="0"/>
        <w:widowControl/>
        <w:spacing w:line="233" w:lineRule="auto" w:before="62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İKİNCİ NESİL (2G) TEKNOLOJİLERİ</w:t>
      </w:r>
    </w:p>
    <w:p>
      <w:pPr>
        <w:autoSpaceDN w:val="0"/>
        <w:autoSpaceDE w:val="0"/>
        <w:widowControl/>
        <w:spacing w:line="271" w:lineRule="auto" w:before="33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Artan abone sayısı, servis ihtiyacı ve yüksek servis kalitesi gibi gereksinimler, 2G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teknolojisinin ortaya çıkmasına ön ayak olmuştur. Bunların yanında güvenlik desteği de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sağlayan 2G sistemler 90’lı yılların başında sadece ses iletimi için kullanılmaya başlanmış ve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daha sonra kısa mesaj servisi (SMS) ve veri iletimi amacı ile de kullanılmıştır. Mobil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sistemlerde veri iletiminin değişken bir kanal trafiği oluşturması ve devre anahtarlama tekniği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kullanılması nedeniyle ağ kaynaklarının verimli kullanımı olanaksız hale gelmiştir. Bundan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dolayı 90’lı yılların sonundan itibaren veri trafiğini daha etkin bir şekilde yönetmek amacıyla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paket anahtarlama tekniğini kullanan 2.5G sistemler kullanılmaya başlanmıştır. Bu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sistemlere örnek olarak GPRS ve EDGE (Enhanced Data rates for GSM Evolution)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verilebilir.</w:t>
      </w:r>
    </w:p>
    <w:sectPr w:rsidR="00FC693F" w:rsidRPr="0006063C" w:rsidSect="00034616">
      <w:pgSz w:w="11920" w:h="16840"/>
      <w:pgMar w:top="0" w:right="0" w:bottom="0" w:left="0" w:header="720" w:footer="720" w:gutter="0"/>
      <w:cols w:space="720" w:num="1" w:equalWidth="0">
        <w:col w:w="11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