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B5C1CE" w14:textId="77777777" w:rsidR="007D5553" w:rsidRDefault="006969A9">
      <w:pPr>
        <w:pStyle w:val="a4"/>
      </w:pPr>
      <w:r>
        <w:rPr>
          <w:b/>
          <w:bCs/>
        </w:rPr>
        <w:t>Проспективное, многоцентровое, рандомизированное, двойное слепое, плацебо-контролируемое клиническое исследование эффективности и безопасности экстракта боярышника (Crataegus) у пациентов с хронической сердечной недостаточностью со сниженной фракцией выбро</w:t>
      </w:r>
      <w:r>
        <w:rPr>
          <w:b/>
          <w:bCs/>
        </w:rPr>
        <w:t>са левого желудочка.</w:t>
      </w:r>
    </w:p>
    <w:p w14:paraId="4FD8DCDE" w14:textId="77777777" w:rsidR="007D5553" w:rsidRDefault="006969A9">
      <w:pPr>
        <w:pStyle w:val="Author"/>
      </w:pPr>
      <w:r>
        <w:t>Выполнил(и): Бектур Бердибеков, Анастасия Генералова, Ирина Михайлова, Фирюза Лаптева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1529397160"/>
        <w:docPartObj>
          <w:docPartGallery w:val="Table of Contents"/>
          <w:docPartUnique/>
        </w:docPartObj>
      </w:sdtPr>
      <w:sdtEndPr/>
      <w:sdtContent>
        <w:p w14:paraId="4D9E131B" w14:textId="77777777" w:rsidR="007D5553" w:rsidRDefault="006969A9">
          <w:pPr>
            <w:pStyle w:val="af0"/>
          </w:pPr>
          <w:r>
            <w:t>Table of Contents</w:t>
          </w:r>
        </w:p>
        <w:p w14:paraId="444FC036" w14:textId="77777777" w:rsidR="006969A9" w:rsidRDefault="006969A9">
          <w:pPr>
            <w:pStyle w:val="11"/>
            <w:tabs>
              <w:tab w:val="right" w:leader="dot" w:pos="9679"/>
            </w:tabs>
            <w:rPr>
              <w:noProof/>
            </w:rPr>
          </w:pPr>
          <w:r>
            <w:fldChar w:fldCharType="begin"/>
          </w:r>
          <w:r>
            <w:instrText>TOC \o "1-4" \h \z \u</w:instrText>
          </w:r>
          <w:r>
            <w:fldChar w:fldCharType="separate"/>
          </w:r>
          <w:hyperlink w:anchor="_Toc219649836" w:history="1">
            <w:r w:rsidRPr="00ED33B2">
              <w:rPr>
                <w:rStyle w:val="af"/>
                <w:noProof/>
              </w:rPr>
              <w:t>ПКТ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_Toc219649836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DA372" w14:textId="77777777" w:rsidR="007D5553" w:rsidRDefault="006969A9">
          <w:r>
            <w:fldChar w:fldCharType="end"/>
          </w:r>
        </w:p>
      </w:sdtContent>
    </w:sdt>
    <w:p w14:paraId="4EC41F5C" w14:textId="77777777" w:rsidR="007D5553" w:rsidRDefault="006969A9">
      <w:pPr>
        <w:pStyle w:val="SourceCode"/>
      </w:pPr>
      <w:r>
        <w:rPr>
          <w:rStyle w:val="NormalTok"/>
        </w:rPr>
        <w:t xml:space="preserve">team1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read.csv</w:t>
      </w:r>
      <w:r>
        <w:rPr>
          <w:rStyle w:val="NormalTok"/>
        </w:rPr>
        <w:t>(</w:t>
      </w:r>
      <w:r>
        <w:rPr>
          <w:rStyle w:val="StringTok"/>
        </w:rPr>
        <w:t>"data/team1_ecrf_wide.csv"</w:t>
      </w:r>
      <w:r>
        <w:rPr>
          <w:rStyle w:val="NormalTok"/>
        </w:rPr>
        <w:t xml:space="preserve">, </w:t>
      </w:r>
      <w:r>
        <w:rPr>
          <w:rStyle w:val="AttributeTok"/>
        </w:rPr>
        <w:t>sep =</w:t>
      </w:r>
      <w:r>
        <w:rPr>
          <w:rStyle w:val="NormalTok"/>
        </w:rPr>
        <w:t xml:space="preserve"> </w:t>
      </w:r>
      <w:r>
        <w:rPr>
          <w:rStyle w:val="StringTok"/>
        </w:rPr>
        <w:t>","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data_surv </w:t>
      </w:r>
      <w:r>
        <w:rPr>
          <w:rStyle w:val="OtherTok"/>
        </w:rPr>
        <w:t>&lt;-</w:t>
      </w:r>
      <w:r>
        <w:rPr>
          <w:rStyle w:val="NormalTok"/>
        </w:rPr>
        <w:t xml:space="preserve"> team1 </w:t>
      </w:r>
      <w:r>
        <w:rPr>
          <w:rStyle w:val="SpecialCharTok"/>
        </w:rPr>
        <w:t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id     =</w:t>
      </w:r>
      <w:r>
        <w:rPr>
          <w:rStyle w:val="NormalTok"/>
        </w:rPr>
        <w:t xml:space="preserve"> U</w:t>
      </w:r>
      <w:r>
        <w:rPr>
          <w:rStyle w:val="NormalTok"/>
        </w:rPr>
        <w:t>SUBJID,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group  =</w:t>
      </w:r>
      <w:r>
        <w:rPr>
          <w:rStyle w:val="NormalTok"/>
        </w:rPr>
        <w:t xml:space="preserve"> ARM,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Time   =</w:t>
      </w:r>
      <w:r>
        <w:rPr>
          <w:rStyle w:val="NormalTok"/>
        </w:rPr>
        <w:t xml:space="preserve"> V0_END_TTE_COMP_M,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Event_OS =</w:t>
      </w:r>
      <w:r>
        <w:rPr>
          <w:rStyle w:val="NormalTok"/>
        </w:rPr>
        <w:t xml:space="preserve"> V0_END_COMP_EVENT,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type   =</w:t>
      </w:r>
      <w:r>
        <w:rPr>
          <w:rStyle w:val="NormalTok"/>
        </w:rPr>
        <w:t xml:space="preserve"> V0_END_COMP_TYPE</w:t>
      </w:r>
      <w:r>
        <w:br/>
      </w:r>
      <w:r>
        <w:rPr>
          <w:rStyle w:val="NormalTok"/>
        </w:rPr>
        <w:t xml:space="preserve">  )</w:t>
      </w:r>
    </w:p>
    <w:p w14:paraId="54F3E92F" w14:textId="77777777" w:rsidR="007D5553" w:rsidRDefault="006969A9">
      <w:pPr>
        <w:pStyle w:val="1"/>
      </w:pPr>
      <w:bookmarkStart w:id="0" w:name="пкт"/>
      <w:bookmarkStart w:id="1" w:name="_Toc219649836"/>
      <w:r>
        <w:t>ПКТ</w:t>
      </w:r>
      <w:bookmarkEnd w:id="1"/>
    </w:p>
    <w:p w14:paraId="2C4584F8" w14:textId="77777777" w:rsidR="007D5553" w:rsidRDefault="006969A9">
      <w:pPr>
        <w:pStyle w:val="FirstParagraph"/>
      </w:pPr>
      <w:r>
        <w:t>Для оценка первичной конечной точки будет проведен анализ с использованием модели пропорциональных рисков Кокса (Cox Proportio</w:t>
      </w:r>
      <w:r>
        <w:t>nal Hazards Model).</w:t>
      </w:r>
    </w:p>
    <w:p w14:paraId="020AF038" w14:textId="77777777" w:rsidR="007D5553" w:rsidRDefault="006969A9">
      <w:pPr>
        <w:pStyle w:val="a0"/>
      </w:pPr>
      <w:r>
        <w:t>Для подтверждения корректности использования модели Кокса была проведена проверка допущения о пропорциональности рисков (тест на основе остатков Шонфилда). Результаты теста (p=0.28 для группы терапии и p=0.28 для модели в целом) подтвер</w:t>
      </w:r>
      <w:r>
        <w:t xml:space="preserve">ждают соблюдение </w:t>
      </w:r>
      <w:r>
        <w:lastRenderedPageBreak/>
        <w:t>допущения о пропорциональности рисков. Это позволяет считать полученную оценку Hazard Ratio (HR) корректной и стабильной на всем интервале наблюдения (24 месяца).</w:t>
      </w:r>
    </w:p>
    <w:p w14:paraId="78AE4AD0" w14:textId="77777777" w:rsidR="007D5553" w:rsidRDefault="006969A9">
      <w:pPr>
        <w:pStyle w:val="a0"/>
      </w:pPr>
      <w:r>
        <w:t>Данное конфирматорное исследование было спланировано с мощностью 80% для обн</w:t>
      </w:r>
      <w:r>
        <w:t xml:space="preserve">аружения HR=0.78. Полученный результат HR=1.01 при p=0.87 свидетельствует о том, что в данной популяции пациентов, получающих оптимальную современную терапию ХСН, добавление экстракта боярышника не приносит дополнительного статистически значимого снижения </w:t>
      </w:r>
      <w:r>
        <w:t>риска по жестким конечным точкам.</w:t>
      </w:r>
    </w:p>
    <w:p w14:paraId="51790FCA" w14:textId="77777777" w:rsidR="007D5553" w:rsidRDefault="006969A9">
      <w:pPr>
        <w:pStyle w:val="SourceCode"/>
      </w:pPr>
      <w:r>
        <w:rPr>
          <w:rStyle w:val="NormalTok"/>
        </w:rPr>
        <w:t xml:space="preserve">cox_fit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coxph</w:t>
      </w:r>
      <w:r>
        <w:rPr>
          <w:rStyle w:val="NormalTok"/>
        </w:rPr>
        <w:t>(</w:t>
      </w:r>
      <w:r>
        <w:rPr>
          <w:rStyle w:val="FunctionTok"/>
        </w:rPr>
        <w:t>Surv</w:t>
      </w:r>
      <w:r>
        <w:rPr>
          <w:rStyle w:val="NormalTok"/>
        </w:rPr>
        <w:t xml:space="preserve">(Time, Event_OS) </w:t>
      </w:r>
      <w:r>
        <w:rPr>
          <w:rStyle w:val="SpecialCharTok"/>
        </w:rPr>
        <w:t>~</w:t>
      </w:r>
      <w:r>
        <w:rPr>
          <w:rStyle w:val="NormalTok"/>
        </w:rPr>
        <w:t xml:space="preserve"> group, </w:t>
      </w:r>
      <w:r>
        <w:rPr>
          <w:rStyle w:val="AttributeTok"/>
        </w:rPr>
        <w:t>data =</w:t>
      </w:r>
      <w:r>
        <w:rPr>
          <w:rStyle w:val="NormalTok"/>
        </w:rPr>
        <w:t xml:space="preserve"> data_surv)</w:t>
      </w:r>
      <w:r>
        <w:br/>
      </w:r>
      <w:r>
        <w:br/>
      </w:r>
      <w:r>
        <w:rPr>
          <w:rStyle w:val="NormalTok"/>
        </w:rPr>
        <w:t xml:space="preserve">pretty_table </w:t>
      </w:r>
      <w:r>
        <w:rPr>
          <w:rStyle w:val="OtherTok"/>
        </w:rPr>
        <w:t>&lt;-</w:t>
      </w:r>
      <w:r>
        <w:rPr>
          <w:rStyle w:val="NormalTok"/>
        </w:rPr>
        <w:t xml:space="preserve"> cox_fit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>::</w:t>
      </w:r>
      <w:r>
        <w:rPr>
          <w:rStyle w:val="FunctionTok"/>
        </w:rPr>
        <w:t>tidy</w:t>
      </w:r>
      <w:r>
        <w:rPr>
          <w:rStyle w:val="NormalTok"/>
        </w:rPr>
        <w:t>(</w:t>
      </w:r>
      <w:r>
        <w:rPr>
          <w:rStyle w:val="AttributeTok"/>
        </w:rPr>
        <w:t>exponentiate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conf.int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HR =</w:t>
      </w:r>
      <w:r>
        <w:rPr>
          <w:rStyle w:val="NormalTok"/>
        </w:rPr>
        <w:t xml:space="preserve"> </w:t>
      </w:r>
      <w:r>
        <w:rPr>
          <w:rStyle w:val="FunctionTok"/>
        </w:rPr>
        <w:t>sprintf</w:t>
      </w:r>
      <w:r>
        <w:rPr>
          <w:rStyle w:val="NormalTok"/>
        </w:rPr>
        <w:t>(</w:t>
      </w:r>
      <w:r>
        <w:rPr>
          <w:rStyle w:val="StringTok"/>
        </w:rPr>
        <w:t>"%.2f"</w:t>
      </w:r>
      <w:r>
        <w:rPr>
          <w:rStyle w:val="NormalTok"/>
        </w:rPr>
        <w:t>, estimate),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`</w:t>
      </w:r>
      <w:r>
        <w:rPr>
          <w:rStyle w:val="AttributeTok"/>
        </w:rPr>
        <w:t>95% CI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sprintf</w:t>
      </w:r>
      <w:r>
        <w:rPr>
          <w:rStyle w:val="NormalTok"/>
        </w:rPr>
        <w:t>(</w:t>
      </w:r>
      <w:r>
        <w:rPr>
          <w:rStyle w:val="StringTok"/>
        </w:rPr>
        <w:t>"%.2f-%.2f"</w:t>
      </w:r>
      <w:r>
        <w:rPr>
          <w:rStyle w:val="NormalTok"/>
        </w:rPr>
        <w:t>, conf.low, conf.high),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p_value =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p.value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FloatTok"/>
        </w:rPr>
        <w:t>0.001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"&lt;0.001"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p.value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FloatTok"/>
        </w:rPr>
        <w:t>0.01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FunctionTok"/>
        </w:rPr>
        <w:t>sprintf</w:t>
      </w:r>
      <w:r>
        <w:rPr>
          <w:rStyle w:val="NormalTok"/>
        </w:rPr>
        <w:t>(</w:t>
      </w:r>
      <w:r>
        <w:rPr>
          <w:rStyle w:val="StringTok"/>
        </w:rPr>
        <w:t>"%.3f"</w:t>
      </w:r>
      <w:r>
        <w:rPr>
          <w:rStyle w:val="NormalTok"/>
        </w:rPr>
        <w:t>, p.value),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FunctionTok"/>
        </w:rPr>
        <w:t>sprintf</w:t>
      </w:r>
      <w:r>
        <w:rPr>
          <w:rStyle w:val="NormalTok"/>
        </w:rPr>
        <w:t>(</w:t>
      </w:r>
      <w:r>
        <w:rPr>
          <w:rStyle w:val="StringTok"/>
        </w:rPr>
        <w:t>"%.3f"</w:t>
      </w:r>
      <w:r>
        <w:rPr>
          <w:rStyle w:val="NormalTok"/>
        </w:rPr>
        <w:t>, p.value)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Significance =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p.value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FloatTok"/>
        </w:rPr>
        <w:t>0.001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"***"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p.value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FloatTok"/>
        </w:rPr>
        <w:t>0.01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"**"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p.value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FloatTok"/>
        </w:rPr>
        <w:t>0.05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"*"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Переменная </w:t>
      </w:r>
      <w:r>
        <w:rPr>
          <w:rStyle w:val="OtherTok"/>
        </w:rPr>
        <w:t>=</w:t>
      </w:r>
      <w:r>
        <w:rPr>
          <w:rStyle w:val="NormalTok"/>
        </w:rPr>
        <w:t xml:space="preserve"> term,</w:t>
      </w:r>
      <w:r>
        <w:br/>
      </w:r>
      <w:r>
        <w:rPr>
          <w:rStyle w:val="NormalTok"/>
        </w:rPr>
        <w:t xml:space="preserve">    HR,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`</w:t>
      </w:r>
      <w:r>
        <w:rPr>
          <w:rStyle w:val="AttributeTok"/>
        </w:rPr>
        <w:t>95% CI</w:t>
      </w:r>
      <w:r>
        <w:rPr>
          <w:rStyle w:val="StringTok"/>
        </w:rPr>
        <w:t>`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`</w:t>
      </w:r>
      <w:r>
        <w:rPr>
          <w:rStyle w:val="AttributeTok"/>
        </w:rPr>
        <w:t>p-value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p_value,</w:t>
      </w:r>
      <w:r>
        <w:br/>
      </w:r>
      <w:r>
        <w:rPr>
          <w:rStyle w:val="NormalTok"/>
        </w:rPr>
        <w:t xml:space="preserve">    Significance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kable</w:t>
      </w:r>
      <w:r>
        <w:rPr>
          <w:rStyle w:val="NormalTok"/>
        </w:rPr>
        <w:t>()</w:t>
      </w:r>
      <w:r>
        <w:br/>
      </w:r>
      <w:r>
        <w:rPr>
          <w:rStyle w:val="CommentTok"/>
        </w:rPr>
        <w:t># summary(cox_fit)</w:t>
      </w:r>
      <w:r>
        <w:br/>
      </w:r>
      <w:r>
        <w:rPr>
          <w:rStyle w:val="NormalTok"/>
        </w:rPr>
        <w:t>pretty_table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59"/>
        <w:gridCol w:w="642"/>
        <w:gridCol w:w="1141"/>
        <w:gridCol w:w="940"/>
        <w:gridCol w:w="1368"/>
      </w:tblGrid>
      <w:tr w:rsidR="007D5553" w14:paraId="5727CDC8" w14:textId="77777777" w:rsidTr="007D5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C5F9D76" w14:textId="77777777" w:rsidR="007D5553" w:rsidRDefault="006969A9">
            <w:pPr>
              <w:pStyle w:val="Compact"/>
            </w:pPr>
            <w:r>
              <w:t>Переменная</w:t>
            </w:r>
          </w:p>
        </w:tc>
        <w:tc>
          <w:tcPr>
            <w:tcW w:w="0" w:type="auto"/>
          </w:tcPr>
          <w:p w14:paraId="6B2892FA" w14:textId="77777777" w:rsidR="007D5553" w:rsidRDefault="006969A9">
            <w:pPr>
              <w:pStyle w:val="Compact"/>
            </w:pPr>
            <w:r>
              <w:t>HR</w:t>
            </w:r>
          </w:p>
        </w:tc>
        <w:tc>
          <w:tcPr>
            <w:tcW w:w="0" w:type="auto"/>
          </w:tcPr>
          <w:p w14:paraId="0E9B7C3B" w14:textId="77777777" w:rsidR="007D5553" w:rsidRDefault="006969A9">
            <w:pPr>
              <w:pStyle w:val="Compact"/>
            </w:pPr>
            <w:r>
              <w:t>95%</w:t>
            </w:r>
            <w:r>
              <w:t xml:space="preserve"> CI</w:t>
            </w:r>
          </w:p>
        </w:tc>
        <w:tc>
          <w:tcPr>
            <w:tcW w:w="0" w:type="auto"/>
          </w:tcPr>
          <w:p w14:paraId="7DF99D33" w14:textId="77777777" w:rsidR="007D5553" w:rsidRDefault="006969A9">
            <w:pPr>
              <w:pStyle w:val="Compact"/>
            </w:pPr>
            <w:r>
              <w:t>p-value</w:t>
            </w:r>
          </w:p>
        </w:tc>
        <w:tc>
          <w:tcPr>
            <w:tcW w:w="0" w:type="auto"/>
          </w:tcPr>
          <w:p w14:paraId="6C10AF73" w14:textId="77777777" w:rsidR="007D5553" w:rsidRDefault="006969A9">
            <w:pPr>
              <w:pStyle w:val="Compact"/>
            </w:pPr>
            <w:r>
              <w:t>Significance</w:t>
            </w:r>
          </w:p>
        </w:tc>
      </w:tr>
      <w:tr w:rsidR="007D5553" w14:paraId="2A636F32" w14:textId="77777777">
        <w:tc>
          <w:tcPr>
            <w:tcW w:w="0" w:type="auto"/>
          </w:tcPr>
          <w:p w14:paraId="2D0E4700" w14:textId="77777777" w:rsidR="007D5553" w:rsidRDefault="006969A9">
            <w:pPr>
              <w:pStyle w:val="Compact"/>
            </w:pPr>
            <w:r>
              <w:t>groupPlacebo</w:t>
            </w:r>
          </w:p>
        </w:tc>
        <w:tc>
          <w:tcPr>
            <w:tcW w:w="0" w:type="auto"/>
          </w:tcPr>
          <w:p w14:paraId="17C6A092" w14:textId="77777777" w:rsidR="007D5553" w:rsidRDefault="006969A9">
            <w:pPr>
              <w:pStyle w:val="Compact"/>
            </w:pPr>
            <w:r>
              <w:t>1.01</w:t>
            </w:r>
          </w:p>
        </w:tc>
        <w:tc>
          <w:tcPr>
            <w:tcW w:w="0" w:type="auto"/>
          </w:tcPr>
          <w:p w14:paraId="3A0AC526" w14:textId="77777777" w:rsidR="007D5553" w:rsidRDefault="006969A9">
            <w:pPr>
              <w:pStyle w:val="Compact"/>
            </w:pPr>
            <w:r>
              <w:t>0.92-1.11</w:t>
            </w:r>
          </w:p>
        </w:tc>
        <w:tc>
          <w:tcPr>
            <w:tcW w:w="0" w:type="auto"/>
          </w:tcPr>
          <w:p w14:paraId="4A3A20EA" w14:textId="77777777" w:rsidR="007D5553" w:rsidRDefault="006969A9">
            <w:pPr>
              <w:pStyle w:val="Compact"/>
            </w:pPr>
            <w:r>
              <w:t>0.870</w:t>
            </w:r>
          </w:p>
        </w:tc>
        <w:tc>
          <w:tcPr>
            <w:tcW w:w="0" w:type="auto"/>
          </w:tcPr>
          <w:p w14:paraId="330D903E" w14:textId="77777777" w:rsidR="007D5553" w:rsidRDefault="007D5553">
            <w:pPr>
              <w:pStyle w:val="Compact"/>
            </w:pPr>
          </w:p>
        </w:tc>
      </w:tr>
    </w:tbl>
    <w:p w14:paraId="43AD8E61" w14:textId="77777777" w:rsidR="007D5553" w:rsidRDefault="006969A9">
      <w:pPr>
        <w:pStyle w:val="SourceCode"/>
      </w:pPr>
      <w:r>
        <w:rPr>
          <w:rStyle w:val="CommentTok"/>
        </w:rPr>
        <w:t># Запускаем тест на пропорциональность</w:t>
      </w:r>
      <w:r>
        <w:br/>
      </w:r>
      <w:r>
        <w:rPr>
          <w:rStyle w:val="NormalTok"/>
        </w:rPr>
        <w:t xml:space="preserve">test_ph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cox.zph</w:t>
      </w:r>
      <w:r>
        <w:rPr>
          <w:rStyle w:val="NormalTok"/>
        </w:rPr>
        <w:t>(cox_fit)</w:t>
      </w:r>
      <w:r>
        <w:br/>
      </w:r>
      <w:r>
        <w:br/>
      </w:r>
      <w:r>
        <w:rPr>
          <w:rStyle w:val="FunctionTok"/>
        </w:rPr>
        <w:t>print</w:t>
      </w:r>
      <w:r>
        <w:rPr>
          <w:rStyle w:val="NormalTok"/>
        </w:rPr>
        <w:t>(test_ph)</w:t>
      </w:r>
    </w:p>
    <w:p w14:paraId="743C086F" w14:textId="77777777" w:rsidR="007D5553" w:rsidRDefault="006969A9">
      <w:pPr>
        <w:pStyle w:val="SourceCode"/>
      </w:pPr>
      <w:r>
        <w:rPr>
          <w:rStyle w:val="VerbatimChar"/>
        </w:rPr>
        <w:t>##        chisq df    p</w:t>
      </w:r>
      <w:r>
        <w:br/>
      </w:r>
      <w:r>
        <w:rPr>
          <w:rStyle w:val="VerbatimChar"/>
        </w:rPr>
        <w:t>## group   1.19  1 0.28</w:t>
      </w:r>
      <w:r>
        <w:br/>
      </w:r>
      <w:r>
        <w:rPr>
          <w:rStyle w:val="VerbatimChar"/>
        </w:rPr>
        <w:t>## GLOBAL  1.19  1 0.28</w:t>
      </w:r>
    </w:p>
    <w:p w14:paraId="3E1C8B6D" w14:textId="77777777" w:rsidR="007D5553" w:rsidRDefault="006969A9">
      <w:pPr>
        <w:pStyle w:val="SourceCode"/>
      </w:pPr>
      <w:r>
        <w:rPr>
          <w:rStyle w:val="CommentTok"/>
        </w:rPr>
        <w:lastRenderedPageBreak/>
        <w:t># Рисуем графики для визуальной оценки</w:t>
      </w:r>
      <w:r>
        <w:br/>
      </w:r>
      <w:r>
        <w:br/>
      </w:r>
      <w:r>
        <w:rPr>
          <w:rStyle w:val="FunctionTok"/>
        </w:rPr>
        <w:t>ggcoxzph</w:t>
      </w:r>
      <w:r>
        <w:rPr>
          <w:rStyle w:val="NormalTok"/>
        </w:rPr>
        <w:t>(test_ph)</w:t>
      </w:r>
    </w:p>
    <w:p w14:paraId="681DAD3C" w14:textId="77777777" w:rsidR="007D5553" w:rsidRDefault="006969A9">
      <w:pPr>
        <w:pStyle w:val="FirstParagraph"/>
      </w:pPr>
      <w:r>
        <w:rPr>
          <w:noProof/>
        </w:rPr>
        <w:drawing>
          <wp:inline distT="0" distB="0" distL="0" distR="0" wp14:anchorId="5B362DE4" wp14:editId="488B787E">
            <wp:extent cx="5334000" cy="4000500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Report_files/figure-docx/unnamed-chunk-3-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# ВКТ</w:t>
      </w:r>
    </w:p>
    <w:p w14:paraId="558BD26D" w14:textId="77777777" w:rsidR="007D5553" w:rsidRDefault="006969A9">
      <w:pPr>
        <w:pStyle w:val="a0"/>
      </w:pPr>
      <w:r>
        <w:t>Кривые выживаемости групп боярышника и плацебо практически полностью накладываются друг на друга на протяжении всех 24 месяцев. Наличие широких и пересекающихся доверительных интервалов (sha</w:t>
      </w:r>
      <w:r>
        <w:t>ded areas) подтверждает отсутствие статистически значимого расхождения. Терапия не продемонстрировала превосходства над плацебо.</w:t>
      </w:r>
    </w:p>
    <w:p w14:paraId="7014948F" w14:textId="77777777" w:rsidR="007D5553" w:rsidRDefault="006969A9">
      <w:pPr>
        <w:pStyle w:val="SourceCode"/>
      </w:pPr>
      <w:r>
        <w:rPr>
          <w:rStyle w:val="NormalTok"/>
        </w:rPr>
        <w:t xml:space="preserve">surv_object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Surv</w:t>
      </w:r>
      <w:r>
        <w:rPr>
          <w:rStyle w:val="NormalTok"/>
        </w:rPr>
        <w:t>(</w:t>
      </w:r>
      <w:r>
        <w:rPr>
          <w:rStyle w:val="AttributeTok"/>
        </w:rPr>
        <w:t>time =</w:t>
      </w:r>
      <w:r>
        <w:rPr>
          <w:rStyle w:val="NormalTok"/>
        </w:rPr>
        <w:t xml:space="preserve"> data_surv</w:t>
      </w:r>
      <w:r>
        <w:rPr>
          <w:rStyle w:val="SpecialCharTok"/>
        </w:rPr>
        <w:t>$</w:t>
      </w:r>
      <w:r>
        <w:rPr>
          <w:rStyle w:val="NormalTok"/>
        </w:rPr>
        <w:t xml:space="preserve">Time, </w:t>
      </w:r>
      <w:r>
        <w:rPr>
          <w:rStyle w:val="AttributeTok"/>
        </w:rPr>
        <w:t>event =</w:t>
      </w:r>
      <w:r>
        <w:rPr>
          <w:rStyle w:val="NormalTok"/>
        </w:rPr>
        <w:t xml:space="preserve"> data_surv</w:t>
      </w:r>
      <w:r>
        <w:rPr>
          <w:rStyle w:val="SpecialCharTok"/>
        </w:rPr>
        <w:t>$</w:t>
      </w:r>
      <w:r>
        <w:rPr>
          <w:rStyle w:val="NormalTok"/>
        </w:rPr>
        <w:t>Event_OS)</w:t>
      </w:r>
      <w:r>
        <w:br/>
      </w:r>
      <w:r>
        <w:br/>
      </w:r>
      <w:r>
        <w:rPr>
          <w:rStyle w:val="NormalTok"/>
        </w:rPr>
        <w:t xml:space="preserve">fit_2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survfit</w:t>
      </w:r>
      <w:r>
        <w:rPr>
          <w:rStyle w:val="NormalTok"/>
        </w:rPr>
        <w:t xml:space="preserve">(surv_object </w:t>
      </w:r>
      <w:r>
        <w:rPr>
          <w:rStyle w:val="SpecialCharTok"/>
        </w:rPr>
        <w:t>~</w:t>
      </w:r>
      <w:r>
        <w:rPr>
          <w:rStyle w:val="NormalTok"/>
        </w:rPr>
        <w:t xml:space="preserve"> group, </w:t>
      </w:r>
      <w:r>
        <w:rPr>
          <w:rStyle w:val="AttributeTok"/>
        </w:rPr>
        <w:t>data =</w:t>
      </w:r>
      <w:r>
        <w:rPr>
          <w:rStyle w:val="NormalTok"/>
        </w:rPr>
        <w:t xml:space="preserve"> data_surv)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ggsurvplot</w:t>
      </w:r>
      <w:r>
        <w:rPr>
          <w:rStyle w:val="NormalTok"/>
        </w:rPr>
        <w:t xml:space="preserve">(fit_2,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>data =</w:t>
      </w:r>
      <w:r>
        <w:rPr>
          <w:rStyle w:val="NormalTok"/>
        </w:rPr>
        <w:t xml:space="preserve"> data_surv,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>conf.int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>surv.median.line =</w:t>
      </w:r>
      <w:r>
        <w:rPr>
          <w:rStyle w:val="NormalTok"/>
        </w:rPr>
        <w:t xml:space="preserve"> </w:t>
      </w:r>
      <w:r>
        <w:rPr>
          <w:rStyle w:val="StringTok"/>
        </w:rPr>
        <w:t>"hv"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>xlab=</w:t>
      </w:r>
      <w:r>
        <w:rPr>
          <w:rStyle w:val="StringTok"/>
        </w:rPr>
        <w:t>"Month"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>risk.table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>tables.height =</w:t>
      </w:r>
      <w:r>
        <w:rPr>
          <w:rStyle w:val="NormalTok"/>
        </w:rPr>
        <w:t xml:space="preserve"> </w:t>
      </w:r>
      <w:r>
        <w:rPr>
          <w:rStyle w:val="FloatTok"/>
        </w:rPr>
        <w:t>0.25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>pval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>pval.coord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22</w:t>
      </w:r>
      <w:r>
        <w:rPr>
          <w:rStyle w:val="NormalTok"/>
        </w:rPr>
        <w:t xml:space="preserve">, </w:t>
      </w:r>
      <w:r>
        <w:rPr>
          <w:rStyle w:val="FloatTok"/>
        </w:rPr>
        <w:t>0.7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>break.time.by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>xlim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24</w:t>
      </w:r>
      <w:r>
        <w:rPr>
          <w:rStyle w:val="NormalTok"/>
        </w:rPr>
        <w:t>))</w:t>
      </w:r>
    </w:p>
    <w:p w14:paraId="6094208B" w14:textId="77777777" w:rsidR="007D5553" w:rsidRDefault="006969A9">
      <w:pPr>
        <w:pStyle w:val="SourceCode"/>
      </w:pPr>
      <w:r>
        <w:rPr>
          <w:rStyle w:val="VerbatimChar"/>
        </w:rPr>
        <w:lastRenderedPageBreak/>
        <w:t>## Warning: Using `size` aesthetic for lines was deprecated in ggplot2 3.4.0.</w:t>
      </w:r>
      <w:r>
        <w:br/>
      </w:r>
      <w:r>
        <w:rPr>
          <w:rStyle w:val="VerbatimChar"/>
        </w:rPr>
        <w:t>## ℹ Please use `linewidth` instead.</w:t>
      </w:r>
      <w:r>
        <w:br/>
      </w:r>
      <w:r>
        <w:rPr>
          <w:rStyle w:val="VerbatimChar"/>
        </w:rPr>
        <w:t>## ℹ The deprecated feature was likely used in the ggpubr package.</w:t>
      </w:r>
      <w:r>
        <w:br/>
      </w:r>
      <w:r>
        <w:rPr>
          <w:rStyle w:val="VerbatimChar"/>
        </w:rPr>
        <w:t>##   Please report the issue at &lt;https://github.com/kassambara/ggpubr/issues&gt;.</w:t>
      </w:r>
      <w:r>
        <w:br/>
      </w:r>
      <w:r>
        <w:rPr>
          <w:rStyle w:val="VerbatimChar"/>
        </w:rPr>
        <w:t>## This warning is displayed once every 8 hours.</w:t>
      </w:r>
      <w:r>
        <w:br/>
      </w:r>
      <w:r>
        <w:rPr>
          <w:rStyle w:val="VerbatimChar"/>
        </w:rPr>
        <w:t xml:space="preserve">## Call `lifecycle::last_lifecycle_warnings()` to see where </w:t>
      </w:r>
      <w:r>
        <w:rPr>
          <w:rStyle w:val="VerbatimChar"/>
        </w:rPr>
        <w:t>this warning was</w:t>
      </w:r>
      <w:r>
        <w:br/>
      </w:r>
      <w:r>
        <w:rPr>
          <w:rStyle w:val="VerbatimChar"/>
        </w:rPr>
        <w:t>## generated.</w:t>
      </w:r>
    </w:p>
    <w:p w14:paraId="2DB1523C" w14:textId="77777777" w:rsidR="007D5553" w:rsidRDefault="006969A9">
      <w:pPr>
        <w:pStyle w:val="SourceCode"/>
      </w:pPr>
      <w:r>
        <w:rPr>
          <w:rStyle w:val="NormalTok"/>
        </w:rPr>
        <w:t>p2</w:t>
      </w:r>
    </w:p>
    <w:p w14:paraId="06AC8431" w14:textId="77777777" w:rsidR="007D5553" w:rsidRDefault="006969A9">
      <w:pPr>
        <w:pStyle w:val="SourceCode"/>
      </w:pPr>
      <w:r>
        <w:rPr>
          <w:rStyle w:val="VerbatimChar"/>
        </w:rPr>
        <w:t>## Ignoring unknown labels:</w:t>
      </w:r>
      <w:r>
        <w:br/>
      </w:r>
      <w:r>
        <w:rPr>
          <w:rStyle w:val="VerbatimChar"/>
        </w:rPr>
        <w:t>## • colour : "Strata"</w:t>
      </w:r>
    </w:p>
    <w:p w14:paraId="23580EB7" w14:textId="77777777" w:rsidR="007D5553" w:rsidRDefault="006969A9">
      <w:pPr>
        <w:pStyle w:val="FirstParagraph"/>
      </w:pPr>
      <w:r>
        <w:rPr>
          <w:noProof/>
        </w:rPr>
        <w:drawing>
          <wp:inline distT="0" distB="0" distL="0" distR="0" wp14:anchorId="299A4C7F" wp14:editId="1F756BFF">
            <wp:extent cx="5334000" cy="4267200"/>
            <wp:effectExtent l="0" t="0" r="0" b="0"/>
            <wp:docPr id="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Report_files/figure-docx/unnamed-chunk-4-1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Значение p=1(крайне редкое для реальных данных) указывает на абсолютную идентичность кривых накопления событий госпитализации в обеих группах. Это означает, что вероятно</w:t>
      </w:r>
      <w:r>
        <w:t>сть попасть в больницу с декомпенсацией СН была абсолютно одинаковой как для пациентов, принимавших Crataegus, так и для группы контроля.</w:t>
      </w:r>
    </w:p>
    <w:p w14:paraId="04393DD4" w14:textId="77777777" w:rsidR="007D5553" w:rsidRDefault="006969A9">
      <w:pPr>
        <w:pStyle w:val="a0"/>
      </w:pPr>
      <w:r>
        <w:t>В отношении наиболее «жесткой» точки — смертности — наблюдается минимальное, статистически незначимое расхождение крив</w:t>
      </w:r>
      <w:r>
        <w:t>ых.</w:t>
      </w:r>
    </w:p>
    <w:p w14:paraId="23059C19" w14:textId="77777777" w:rsidR="007D5553" w:rsidRDefault="006969A9">
      <w:pPr>
        <w:pStyle w:val="SourceCode"/>
      </w:pPr>
      <w:r>
        <w:rPr>
          <w:rStyle w:val="NormalTok"/>
        </w:rPr>
        <w:t xml:space="preserve">event_types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"HF_HOSP"</w:t>
      </w:r>
      <w:r>
        <w:rPr>
          <w:rStyle w:val="NormalTok"/>
        </w:rPr>
        <w:t xml:space="preserve">, </w:t>
      </w:r>
      <w:r>
        <w:rPr>
          <w:rStyle w:val="StringTok"/>
        </w:rPr>
        <w:t>"CV_DEATH"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Мапим по списку событий</w:t>
      </w:r>
      <w:r>
        <w:br/>
      </w:r>
      <w:r>
        <w:rPr>
          <w:rStyle w:val="NormalTok"/>
        </w:rPr>
        <w:t xml:space="preserve">plots_list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map</w:t>
      </w:r>
      <w:r>
        <w:rPr>
          <w:rStyle w:val="NormalTok"/>
        </w:rPr>
        <w:t xml:space="preserve">(event_types, </w:t>
      </w:r>
      <w:r>
        <w:rPr>
          <w:rStyle w:val="ControlFlowTok"/>
        </w:rPr>
        <w:t>function</w:t>
      </w:r>
      <w:r>
        <w:rPr>
          <w:rStyle w:val="NormalTok"/>
        </w:rPr>
        <w:t>(current_event)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CommentTok"/>
        </w:rPr>
        <w:t># Мы создаем колонку 'is_event', которая будет TRUE (1) для текущего типа события.</w:t>
      </w:r>
      <w:r>
        <w:br/>
      </w:r>
      <w:r>
        <w:rPr>
          <w:rStyle w:val="NormalTok"/>
        </w:rPr>
        <w:t xml:space="preserve">  temp_data </w:t>
      </w:r>
      <w:r>
        <w:rPr>
          <w:rStyle w:val="OtherTok"/>
        </w:rPr>
        <w:t>&lt;-</w:t>
      </w:r>
      <w:r>
        <w:rPr>
          <w:rStyle w:val="NormalTok"/>
        </w:rPr>
        <w:t xml:space="preserve"> data_surv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is_event =</w:t>
      </w:r>
      <w:r>
        <w:rPr>
          <w:rStyle w:val="NormalTok"/>
        </w:rPr>
        <w:t xml:space="preserve"> (type </w:t>
      </w:r>
      <w:r>
        <w:rPr>
          <w:rStyle w:val="SpecialCharTok"/>
        </w:rPr>
        <w:t>==</w:t>
      </w:r>
      <w:r>
        <w:rPr>
          <w:rStyle w:val="NormalTok"/>
        </w:rPr>
        <w:t xml:space="preserve"> current_event))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survfit</w:t>
      </w:r>
      <w:r>
        <w:rPr>
          <w:rStyle w:val="NormalTok"/>
        </w:rPr>
        <w:t>(</w:t>
      </w:r>
      <w:r>
        <w:rPr>
          <w:rStyle w:val="FunctionTok"/>
        </w:rPr>
        <w:t>Surv</w:t>
      </w:r>
      <w:r>
        <w:rPr>
          <w:rStyle w:val="NormalTok"/>
        </w:rPr>
        <w:t xml:space="preserve">(Time, is_event) </w:t>
      </w:r>
      <w:r>
        <w:rPr>
          <w:rStyle w:val="SpecialCharTok"/>
        </w:rPr>
        <w:t>~</w:t>
      </w:r>
      <w:r>
        <w:rPr>
          <w:rStyle w:val="NormalTok"/>
        </w:rPr>
        <w:t xml:space="preserve"> group, </w:t>
      </w:r>
      <w:r>
        <w:rPr>
          <w:rStyle w:val="AttributeTok"/>
        </w:rPr>
        <w:t>data =</w:t>
      </w:r>
      <w:r>
        <w:rPr>
          <w:rStyle w:val="NormalTok"/>
        </w:rPr>
        <w:t xml:space="preserve"> temp_data)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ggsurvplot</w:t>
      </w:r>
      <w:r>
        <w:rPr>
          <w:rStyle w:val="NormalTok"/>
        </w:rPr>
        <w:t xml:space="preserve">(fit, </w:t>
      </w:r>
      <w:r>
        <w:br/>
      </w:r>
      <w:r>
        <w:rPr>
          <w:rStyle w:val="NormalTok"/>
        </w:rPr>
        <w:t xml:space="preserve">          </w:t>
      </w:r>
      <w:r>
        <w:rPr>
          <w:rStyle w:val="NormalTok"/>
        </w:rPr>
        <w:t xml:space="preserve">   </w:t>
      </w:r>
      <w:r>
        <w:rPr>
          <w:rStyle w:val="AttributeTok"/>
        </w:rPr>
        <w:t>data =</w:t>
      </w:r>
      <w:r>
        <w:rPr>
          <w:rStyle w:val="NormalTok"/>
        </w:rPr>
        <w:t xml:space="preserve"> temp_data,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>conf.int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>risk.table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>pval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>legend.labs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"Crataegus"</w:t>
      </w:r>
      <w:r>
        <w:rPr>
          <w:rStyle w:val="NormalTok"/>
        </w:rPr>
        <w:t xml:space="preserve">, </w:t>
      </w:r>
      <w:r>
        <w:rPr>
          <w:rStyle w:val="StringTok"/>
        </w:rPr>
        <w:t>"Placebo"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>legend.title =</w:t>
      </w:r>
      <w:r>
        <w:rPr>
          <w:rStyle w:val="NormalTok"/>
        </w:rPr>
        <w:t xml:space="preserve"> </w:t>
      </w:r>
      <w:r>
        <w:rPr>
          <w:rStyle w:val="StringTok"/>
        </w:rPr>
        <w:t>"Group"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>title =</w:t>
      </w:r>
      <w:r>
        <w:rPr>
          <w:rStyle w:val="NormalTok"/>
        </w:rPr>
        <w:t xml:space="preserve"> 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StringTok"/>
        </w:rPr>
        <w:t>"Outcome:"</w:t>
      </w:r>
      <w:r>
        <w:rPr>
          <w:rStyle w:val="NormalTok"/>
        </w:rPr>
        <w:t xml:space="preserve">, current_event), </w:t>
      </w:r>
      <w:r>
        <w:rPr>
          <w:rStyle w:val="CommentTok"/>
        </w:rPr>
        <w:t># Используем current_event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>xlab =</w:t>
      </w:r>
      <w:r>
        <w:rPr>
          <w:rStyle w:val="NormalTok"/>
        </w:rPr>
        <w:t xml:space="preserve"> </w:t>
      </w:r>
      <w:r>
        <w:rPr>
          <w:rStyle w:val="StringTok"/>
        </w:rPr>
        <w:t>"Months"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>xlim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24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>break.time.by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>palette =</w:t>
      </w:r>
      <w:r>
        <w:rPr>
          <w:rStyle w:val="NormalTok"/>
        </w:rPr>
        <w:t xml:space="preserve"> </w:t>
      </w:r>
      <w:r>
        <w:rPr>
          <w:rStyle w:val="StringTok"/>
        </w:rPr>
        <w:t>"Dark2"</w:t>
      </w:r>
      <w:r>
        <w:rPr>
          <w:rStyle w:val="NormalTok"/>
        </w:rPr>
        <w:t>)</w:t>
      </w:r>
      <w:r>
        <w:br/>
      </w:r>
      <w:r>
        <w:rPr>
          <w:rStyle w:val="NormalTok"/>
        </w:rPr>
        <w:t>})</w:t>
      </w:r>
      <w:r>
        <w:br/>
      </w:r>
      <w:r>
        <w:br/>
      </w:r>
      <w:r>
        <w:rPr>
          <w:rStyle w:val="NormalTok"/>
        </w:rPr>
        <w:t>plots_list[[</w:t>
      </w:r>
      <w:r>
        <w:rPr>
          <w:rStyle w:val="DecValTok"/>
        </w:rPr>
        <w:t>1</w:t>
      </w:r>
      <w:r>
        <w:rPr>
          <w:rStyle w:val="NormalTok"/>
        </w:rPr>
        <w:t xml:space="preserve">]] </w:t>
      </w:r>
      <w:r>
        <w:rPr>
          <w:rStyle w:val="CommentTok"/>
        </w:rPr>
        <w:t># График для HF_HOSP</w:t>
      </w:r>
    </w:p>
    <w:p w14:paraId="294239C2" w14:textId="77777777" w:rsidR="007D5553" w:rsidRDefault="006969A9">
      <w:pPr>
        <w:pStyle w:val="SourceCode"/>
      </w:pPr>
      <w:r>
        <w:rPr>
          <w:rStyle w:val="VerbatimChar"/>
        </w:rPr>
        <w:t>## Ignoring unknown labels:</w:t>
      </w:r>
      <w:r>
        <w:br/>
      </w:r>
      <w:r>
        <w:rPr>
          <w:rStyle w:val="VerbatimChar"/>
        </w:rPr>
        <w:t>## • colour : "Group"</w:t>
      </w:r>
    </w:p>
    <w:p w14:paraId="6CAE96AC" w14:textId="77777777" w:rsidR="007D5553" w:rsidRDefault="006969A9">
      <w:pPr>
        <w:pStyle w:val="FirstParagraph"/>
      </w:pPr>
      <w:r>
        <w:rPr>
          <w:noProof/>
        </w:rPr>
        <w:drawing>
          <wp:inline distT="0" distB="0" distL="0" distR="0" wp14:anchorId="76BCD087" wp14:editId="4498C267">
            <wp:extent cx="5334000" cy="4267200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Report_files/figure-docx/unnamed-chunk-5-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D74477" w14:textId="77777777" w:rsidR="007D5553" w:rsidRDefault="006969A9">
      <w:pPr>
        <w:pStyle w:val="SourceCode"/>
      </w:pPr>
      <w:r>
        <w:rPr>
          <w:rStyle w:val="NormalTok"/>
        </w:rPr>
        <w:lastRenderedPageBreak/>
        <w:t>plots_list[[</w:t>
      </w:r>
      <w:r>
        <w:rPr>
          <w:rStyle w:val="DecValTok"/>
        </w:rPr>
        <w:t>2</w:t>
      </w:r>
      <w:r>
        <w:rPr>
          <w:rStyle w:val="NormalTok"/>
        </w:rPr>
        <w:t xml:space="preserve">]] </w:t>
      </w:r>
      <w:r>
        <w:rPr>
          <w:rStyle w:val="CommentTok"/>
        </w:rPr>
        <w:t># График для CV_DEATH</w:t>
      </w:r>
    </w:p>
    <w:p w14:paraId="5D6A45FF" w14:textId="77777777" w:rsidR="007D5553" w:rsidRDefault="006969A9">
      <w:pPr>
        <w:pStyle w:val="SourceCode"/>
      </w:pPr>
      <w:r>
        <w:rPr>
          <w:rStyle w:val="VerbatimChar"/>
        </w:rPr>
        <w:t>## Ignoring unknown labels:</w:t>
      </w:r>
      <w:r>
        <w:br/>
      </w:r>
      <w:r>
        <w:rPr>
          <w:rStyle w:val="VerbatimChar"/>
        </w:rPr>
        <w:t>## • colour : "Group"</w:t>
      </w:r>
    </w:p>
    <w:p w14:paraId="510C2D64" w14:textId="77777777" w:rsidR="007D5553" w:rsidRDefault="006969A9">
      <w:pPr>
        <w:pStyle w:val="FirstParagraph"/>
      </w:pPr>
      <w:r>
        <w:rPr>
          <w:noProof/>
        </w:rPr>
        <w:drawing>
          <wp:inline distT="0" distB="0" distL="0" distR="0" wp14:anchorId="3366D0E5" wp14:editId="0A68B51D">
            <wp:extent cx="5334000" cy="4267200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Report_files/figure-docx/unnamed-chunk-5-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0"/>
    </w:p>
    <w:sectPr w:rsidR="007D5553"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A564931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D5553"/>
    <w:rsid w:val="006969A9"/>
    <w:rsid w:val="007D55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61A0CA"/>
  <w15:docId w15:val="{00B06675-B1B4-403D-8583-9EBDCA0086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8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uiPriority w:val="99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paragraph" w:styleId="11">
    <w:name w:val="toc 1"/>
    <w:basedOn w:val="a"/>
    <w:next w:val="a"/>
    <w:autoRedefine/>
    <w:uiPriority w:val="39"/>
    <w:unhideWhenUsed/>
    <w:rsid w:val="006969A9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795</Words>
  <Characters>4536</Characters>
  <Application>Microsoft Office Word</Application>
  <DocSecurity>0</DocSecurity>
  <Lines>37</Lines>
  <Paragraphs>10</Paragraphs>
  <ScaleCrop>false</ScaleCrop>
  <Company/>
  <LinksUpToDate>false</LinksUpToDate>
  <CharactersWithSpaces>5321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Проспективное, многоцентровое, рандомизированное, двойное слепое, плацебо-контролируемое клиническое исследование эффективности и безопасности экстракта боярышника (Crataegus) у пациентов с хронической сердечной недостаточностью со сниженной фракцией выброса левого желудочка.</dc:title>
  <dc:creator>Выполнил(и): Бектур Бердибеков, Анастасия Генералова, Ирина Михайлова, Фирюза Лаптева</dc:creator>
  <cp:keywords/>
  <cp:lastModifiedBy>LaptevaFR</cp:lastModifiedBy>
  <cp:revision>3</cp:revision>
  <dcterms:created xsi:type="dcterms:W3CDTF">2026-01-18T12:06:00Z</dcterms:created>
  <dcterms:modified xsi:type="dcterms:W3CDTF">2026-01-18T12:31:00Z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