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w:t>
      </w:r>
    </w:p>
    <w:p>
      <w:pPr>
        <w:pStyle w:val="Author"/>
      </w:pPr>
      <w:r>
        <w:t xml:space="preserve">Выполнил(и): Бектур Бердибеков, Анастасия Генералова, Ирина Михайлова, Фирюза Лаптева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NormalTok"/>
        </w:rPr>
        <w:t xml:space="preserve">team1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"data/team1_ecrf_wide.csv"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"data/team1_ecrf_data_dictionary.xlsx"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    =</w:t>
      </w:r>
      <w:r>
        <w:rPr>
          <w:rStyle w:val="NormalTok"/>
        </w:rPr>
        <w:t xml:space="preserve">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 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   =</w:t>
      </w:r>
      <w:r>
        <w:rPr>
          <w:rStyle w:val="NormalTok"/>
        </w:rPr>
        <w:t xml:space="preserve"> V0_END_TTE_COMP_M,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Event_OS =</w:t>
      </w:r>
      <w:r>
        <w:rPr>
          <w:rStyle w:val="NormalTok"/>
        </w:rPr>
        <w:t xml:space="preserve"> V0_END_COMP_EVENT,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  =</w:t>
      </w:r>
      <w:r>
        <w:rPr>
          <w:rStyle w:val="NormalTok"/>
        </w:rPr>
        <w:t xml:space="preserve"> V0_END_COMP_TYPE</w:t>
      </w:r>
      <w:r>
        <w:br/>
      </w:r>
      <w:r>
        <w:rPr>
          <w:rStyle w:val="NormalTok"/>
        </w:rPr>
        <w:t xml:space="preserve">  )</w:t>
      </w:r>
    </w:p>
    <w:bookmarkStart w:id="20" w:name="X657eec22441ed9cde3627e94174dae6da5c07f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Описательная характеристика показателей на первом визите.</w:t>
      </w:r>
    </w:p>
    <w:p>
      <w:pPr>
        <w:pStyle w:val="FirstParagraph"/>
      </w:pPr>
      <w: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кг/м², при диапазоне значений от 13.0 до 65.6 кг/м², что соответствует преимущественно избыточной массе тела.</w:t>
      </w:r>
    </w:p>
    <w:p>
      <w:pPr>
        <w:pStyle w:val="BodyText"/>
      </w:pPr>
      <w:r>
        <w:t xml:space="preserve">Исходный уровень NT-proBNP характеризовался выраженной вариабельностью и асимметрией распределения: среднее значение составило 1722.4 ± 1582.1 пг/мл,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>
      <w:pPr>
        <w:pStyle w:val="BodyText"/>
      </w:pPr>
      <w:r>
        <w:t xml:space="preserve">Качество жизни по шкале KCCQ характеризовалось умеренным снижением: среднее значение общего балла составило 54.7 ± 17.9, медиана - 55 баллов при полном диапазоне значений от 0 до 100.</w:t>
      </w:r>
    </w:p>
    <w:p>
      <w:pPr>
        <w:pStyle w:val="BodyText"/>
      </w:pPr>
      <w:r>
        <w:t xml:space="preserve">В каждую группу лечения было включено по 1100 пациентов. Исходные демографические и клинические характеристики в группах Crataegus и Placebo были сопоставимы.</w:t>
      </w:r>
    </w:p>
    <w:p>
      <w:pPr>
        <w:pStyle w:val="BodyText"/>
      </w:pPr>
      <w:r>
        <w:t xml:space="preserve">Средний возраст в группе Crataegus составил 65.9 ± 10.1 года, в группе Placebo 66.4 ± 9.7 года. Антропометрические показатели практически не различались между группами: средний BMI составил 28.5 ± 6.2 кг/м² в группе Crataegus и 28.6 ± 6.4 кг/м² в группе Placebo.</w:t>
      </w:r>
    </w:p>
    <w:p>
      <w:pPr>
        <w:pStyle w:val="BodyText"/>
      </w:pPr>
      <w:r>
        <w:t xml:space="preserve">Показатели функции почек были сходными: средняя СКФ 68.3 ± 17.3 мл/мин в группе Crataegus и 67.9 ± 17.5 мл/мин в группе Placebo, уровни креатинина и калия также не демонстрировали клинически значимых различий.</w:t>
      </w:r>
    </w:p>
    <w:p>
      <w:pPr>
        <w:pStyle w:val="BodyText"/>
      </w:pPr>
      <w:r>
        <w:t xml:space="preserve">Исходные уровни NT-proBNP были высокими и сопоставимыми между группами: среднее значение 1740.4 ± 1629.3 пг/мл в группе Crataegus и 1704.3 ± 1534.1 пг/мл в группе Placebo, медианные значения также близки. Показатели качества жизни по KCCQ были практически идентичны в обеих группах, со средними значениями около 55 баллов.</w:t>
      </w:r>
    </w:p>
    <w:p>
      <w:pPr>
        <w:pStyle w:val="BodyText"/>
      </w:pPr>
      <w:r>
        <w:t xml:space="preserve">Исходные демографические и клинические характеристики пациентов в группах Crataegus и Placebo хорошо сбалансированы, клинически значимых различий между группами на исходном уровне не выявлено.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team1</w:t>
      </w:r>
      <w:r>
        <w:br/>
      </w:r>
      <w:r>
        <w:br/>
      </w:r>
      <w:r>
        <w:rPr>
          <w:rStyle w:val="NormalTok"/>
        </w:rPr>
        <w:t xml:space="preserve">labels_list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dict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(Column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берем только те, что есть в данных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(Column, Label)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превращает в именованный вектор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tbl_by_arm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(ARM,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"Crataegus"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± {sd}"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"{median} [{p25}; {p75}]"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"{min}-{max}"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labels_list,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(V1_DEM_SEX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tbl_by_arm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Crataegus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2,200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Пол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642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1,226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Возраст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 ± 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65.9 ± 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± 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 [60.0; 73.0]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 [59.0; 72.0]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 [59.0; 73.0]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40.0-90.0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40.0-90.0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40.0-90.0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Рост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169.7 ± 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169.7 ± 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169.7 ± 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169.7 [163.7; 175.9]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170.0 [163.7; 176.0]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169.8 [163.7; 176.0]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145.0-197.8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145.0-200.0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145.0-200.0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Масса тела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81.5 ±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 ± 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81.4 ± 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 [70.5; 92.2]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 [71.4; 91.1]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 [71.1; 91.3]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45.0-135.0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45.0-145.8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45.0-145.8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Индекс массы тела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± 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± 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± 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 [24.0; 32.7]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[24.2; 32.1]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[24.1; 32.4]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13.1-56.1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13.0-65.6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13.0-65.6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KCCQ Overall Score (исходный)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±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 ± 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54.7 ± 17.9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 [43.0; 66.5]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[43.0; 66.0]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[43.0; 66.0]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0.0-100.0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0.0-100.0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0.0-100.0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Отклонение ЧСС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Отклонение ЧДД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Отклонение АД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Отклонение температуры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Гемоглобин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±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 ±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± 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[12.3; 14.3]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 [12.3; 14.2]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 [12.3; 14.2]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8.6-18.0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Лейкоциты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±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±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±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[5.9; 8.6]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[6.0; 8.6]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[5.9; 8.6]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2.5-14.6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2.5-14.2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2.5-14.6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Тромбоциты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241.0 ± 62.7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241.8 ± 59.3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241.4 ± 61.0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241.0 [199.0; 282.0]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242.0 [199.0; 282.0]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242.0 [199.0; 282.0]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80.0-426.0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80.0-416.0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80.0-426.0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NT-proBNP (исходный)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1,704.3 ± 1,534.1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1,740.4 ± 1,629.3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1,722.4 ± 1,582.1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1,240.5 [716.0; 2,123.5]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1,253.0 [723.0; 2,162.0]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1,251.0 [720.0; 2,147.5]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83.0-14,282.0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68.0-15,150.0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68.0-15,150.0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Креатинин (исходный)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[0.9; 1.2]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[0.9; 1.2]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[0.9; 1.2]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0.4-2.0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СКФ (исходная)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67.9 ± 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68.3 ± 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68.1 ± 17.4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 [56.0; 80.0]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69.0 [56.0; 80.0]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 [56.0; 80.0]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10.0-127.0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19.0-128.0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10.0-128.0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Калий (исходный)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± 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[Q1; Q3]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[3.9; 4.5]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[3.9; 4.5]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[3.9; 4.5]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Min-Max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2.7-5.6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2.7-6.0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2.7-6.0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Нарушение ритма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Изменения ST-T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QT-аномалия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(9.7%)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bookmarkEnd w:id="20"/>
    <w:bookmarkStart w:id="33" w:name="пкт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ПКТ</w:t>
      </w:r>
    </w:p>
    <w:p>
      <w:pPr>
        <w:pStyle w:val="FirstParagraph"/>
      </w:pPr>
      <w:r>
        <w:t xml:space="preserve"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>
      <w:pPr>
        <w:pStyle w:val="BodyText"/>
      </w:pPr>
      <w:r>
        <w:t xml:space="preserve">Для подтверждения корректности использования модели Кокса была проведена проверка допущения о пропорциональности рисков (тест на основе остатков Шонфилда). Результаты теста (p=0.28 для группы терапии и p=0.28 для модели в целом) подтверждают соблюдение допущения о пропорциональности рисков. Это позволяет считать полученную оценку Hazard Ratio (HR) корректной и стабильной на всем интервале наблюдения (24 месяца).</w:t>
      </w:r>
    </w:p>
    <w:p>
      <w:pPr>
        <w:pStyle w:val="BodyText"/>
      </w:pPr>
      <w:r>
        <w:t xml:space="preserve"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экстракта боярышника не приносит дополнительного статистически значимого снижения риска по жестким конечным точкам.</w:t>
      </w:r>
    </w:p>
    <w:p>
      <w:pPr>
        <w:pStyle w:val="SourceCode"/>
      </w:pPr>
      <w:r>
        <w:rPr>
          <w:rStyle w:val="NormalTok"/>
        </w:rPr>
        <w:t xml:space="preserve">cox_fit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Event_OS)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pretty_table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cox_fit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CI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"%.2f-%.2f"</w:t>
      </w:r>
      <w:r>
        <w:rPr>
          <w:rStyle w:val="NormalTok"/>
        </w:rPr>
        <w:t xml:space="preserve">, conf.low, 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p.value),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p.value)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Significance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Переменная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term,</w:t>
      </w:r>
      <w:r>
        <w:br/>
      </w:r>
      <w:r>
        <w:rPr>
          <w:rStyle w:val="NormalTok"/>
        </w:rPr>
        <w:t xml:space="preserve">    HR,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CI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p_value,</w:t>
      </w:r>
      <w:r>
        <w:br/>
      </w:r>
      <w:r>
        <w:rPr>
          <w:rStyle w:val="NormalTok"/>
        </w:rPr>
        <w:t xml:space="preserve">    Significance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summary(cox_fit)</w:t>
      </w:r>
      <w:r>
        <w:br/>
      </w:r>
      <w:r>
        <w:rPr>
          <w:rStyle w:val="NormalTok"/>
        </w:rPr>
        <w:t xml:space="preserve">pretty_table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CommentTok"/>
        </w:rPr>
        <w:t xml:space="preserve"># Запускаем тест на пропорциональность</w:t>
      </w:r>
      <w:r>
        <w:br/>
      </w:r>
      <w:r>
        <w:rPr>
          <w:rStyle w:val="NormalTok"/>
        </w:rPr>
        <w:t xml:space="preserve">test_ph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(cox_fit)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(test_ph)</w:t>
      </w:r>
    </w:p>
    <w:p>
      <w:pPr>
        <w:pStyle w:val="SourceCode"/>
      </w:pPr>
      <w:r>
        <w:rPr>
          <w:rStyle w:val="VerbatimChar"/>
        </w:rPr>
        <w:t xml:space="preserve">##        chisq df    p</w:t>
      </w:r>
      <w:r>
        <w:br/>
      </w:r>
      <w:r>
        <w:rPr>
          <w:rStyle w:val="VerbatimChar"/>
        </w:rPr>
        <w:t xml:space="preserve">## group   1.19  1 0.28</w:t>
      </w:r>
      <w:r>
        <w:br/>
      </w:r>
      <w:r>
        <w:rPr>
          <w:rStyle w:val="VerbatimChar"/>
        </w:rPr>
        <w:t xml:space="preserve">## GLOBAL  1.19  1 0.28</w:t>
      </w:r>
    </w:p>
    <w:p>
      <w:pPr>
        <w:pStyle w:val="SourceCode"/>
      </w:pPr>
      <w:r>
        <w:rPr>
          <w:rStyle w:val="CommentTok"/>
        </w:rPr>
        <w:t xml:space="preserve"># Рисуем графики для визуальной оценки</w:t>
      </w:r>
      <w:r>
        <w:br/>
      </w:r>
      <w:r>
        <w:br/>
      </w:r>
      <w:r>
        <w:rPr>
          <w:rStyle w:val="FunctionTok"/>
        </w:rPr>
        <w:t xml:space="preserve">ggcoxzph</w:t>
      </w:r>
      <w:r>
        <w:rPr>
          <w:rStyle w:val="NormalTok"/>
        </w:rPr>
        <w:t xml:space="preserve">(test_ph)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port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 ВКТ</w:t>
      </w:r>
    </w:p>
    <w:p>
      <w:pPr>
        <w:pStyle w:val="BodyText"/>
      </w:pPr>
      <w:r>
        <w:t xml:space="preserve">Кривые выживаемости групп боярышника и плацебо практически полностью накладываются друг на друга на протяжении всех 24 месяцев. Наличие широких и пересекающихся доверительных интервалов (shaded areas) подтверждает отсутствие статистически значимого расхождения. Терапия не продемонстрировала превосходства над плацебо.</w:t>
      </w:r>
    </w:p>
    <w:p>
      <w:pPr>
        <w:pStyle w:val="SourceCode"/>
      </w:pPr>
      <w:r>
        <w:rPr>
          <w:rStyle w:val="NormalTok"/>
        </w:rPr>
        <w:t xml:space="preserve">surv_object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data_surv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data_surv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Event_OS)</w:t>
      </w:r>
      <w:r>
        <w:br/>
      </w:r>
      <w:r>
        <w:br/>
      </w:r>
      <w:r>
        <w:rPr>
          <w:rStyle w:val="NormalTok"/>
        </w:rPr>
        <w:t xml:space="preserve">fit_2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(surv_object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(fit_2,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data_surv,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surv.median.line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risk.table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tables.height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pval.coord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break.time.by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Using `size` aesthetic for lines was deprecated in ggplot2 3.4.0.</w:t>
      </w:r>
      <w:r>
        <w:br/>
      </w:r>
      <w:r>
        <w:rPr>
          <w:rStyle w:val="VerbatimChar"/>
        </w:rPr>
        <w:t xml:space="preserve">## ℹ Please use `linewidth` instead.</w:t>
      </w:r>
      <w:r>
        <w:br/>
      </w:r>
      <w:r>
        <w:rPr>
          <w:rStyle w:val="VerbatimChar"/>
        </w:rPr>
        <w:t xml:space="preserve">## ℹ The deprecated feature was likely used in the ggpubr package.</w:t>
      </w:r>
      <w:r>
        <w:br/>
      </w:r>
      <w:r>
        <w:rPr>
          <w:rStyle w:val="VerbatimChar"/>
        </w:rPr>
        <w:t xml:space="preserve">##   Please report the issue at &lt;https://github.com/kassambara/ggpubr/issues&gt;.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SourceCode"/>
      </w:pPr>
      <w:r>
        <w:rPr>
          <w:rStyle w:val="NormalTok"/>
        </w:rPr>
        <w:t xml:space="preserve">p2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"Strata"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port_files/figure-docx/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Значение p=1(крайне редкое для реальных данных) указывает на абсолютную идентичность кривых накопления событий госпитализации в обеих группах. Это означает, что вероятность попасть в больницу с декомпенсацией СН была абсолютно одинаковой как для пациентов, принимавших Crataegus, так и для группы контроля.</w:t>
      </w:r>
    </w:p>
    <w:p>
      <w:pPr>
        <w:pStyle w:val="BodyText"/>
      </w:pPr>
      <w:r>
        <w:t xml:space="preserve">В отношении наиболее «жесткой» точки — смертности — наблюдается минимальное, статистически незначимое расхождение кривых.</w:t>
      </w:r>
    </w:p>
    <w:p>
      <w:pPr>
        <w:pStyle w:val="SourceCode"/>
      </w:pPr>
      <w:r>
        <w:rPr>
          <w:rStyle w:val="NormalTok"/>
        </w:rPr>
        <w:t xml:space="preserve">event_types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"HF_HOSP"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"CV_DEATH"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Мапим по списку событий</w:t>
      </w:r>
      <w:r>
        <w:br/>
      </w:r>
      <w:r>
        <w:rPr>
          <w:rStyle w:val="NormalTok"/>
        </w:rPr>
        <w:t xml:space="preserve">plots_list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(event_types,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(current_event)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Мы создаем колонку 'is_event', которая будет TRUE (1) для текущего типа события.</w:t>
      </w:r>
      <w:r>
        <w:br/>
      </w:r>
      <w:r>
        <w:rPr>
          <w:rStyle w:val="NormalTok"/>
        </w:rPr>
        <w:t xml:space="preserve">  temp_data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data_surv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is_event =</w:t>
      </w:r>
      <w:r>
        <w:rPr>
          <w:rStyle w:val="NormalTok"/>
        </w:rPr>
        <w:t xml:space="preserve"> (type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current_event))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is_event)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temp_data)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(fit,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temp_data,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risk.table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legend.labs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"Crataegus"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"Outcome:"</w:t>
      </w:r>
      <w:r>
        <w:rPr>
          <w:rStyle w:val="NormalTok"/>
        </w:rPr>
        <w:t xml:space="preserve">, current_event), </w:t>
      </w:r>
      <w:r>
        <w:rPr>
          <w:rStyle w:val="CommentTok"/>
        </w:rPr>
        <w:t xml:space="preserve"># Используем current_event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break.time.by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plots_list[[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CommentTok"/>
        </w:rPr>
        <w:t xml:space="preserve"># График для HF_HOSP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"Group"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eport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plots_list[[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 </w:t>
      </w:r>
      <w:r>
        <w:rPr>
          <w:rStyle w:val="CommentTok"/>
        </w:rPr>
        <w:t xml:space="preserve"># График для CV_DEATH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"Group"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port_files/figure-docx/unnamed-chunk-5-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dcterms:created xsi:type="dcterms:W3CDTF">2026-01-18T16:13:23Z</dcterms:created>
  <dcterms:modified xsi:type="dcterms:W3CDTF">2026-01-18T16:13:23Z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