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25.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w:t>
      </w:r>
    </w:p>
    <w:p>
      <w:pPr>
        <w:pStyle w:val="Author"/>
      </w:pPr>
      <w:r>
        <w:t xml:space="preserve">Выполнил(и): Бектур Бердибеков, Анастасия Генералова, Ирина Михайлова, Фирюза Лаптева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"1-4" \h \z \u</w:instrText>
            <w:fldChar w:fldCharType="separate"/>
            <w:fldChar w:fldCharType="end"/>
          </w:r>
        </w:p>
      </w:sdtContent>
    </w:sdt>
    <w:bookmarkStart w:id="21" w:name="проверка-данных"/>
    <w:p>
      <w:pPr>
        <w:pStyle w:val="Heading1"/>
      </w:pPr>
      <w:r>
        <w:rPr>
          <w:rStyle w:val="SectionNumber"/>
        </w:rPr>
        <w:t xml:space="preserve">1</w:t>
      </w:r>
      <w:r>
        <w:tab/>
      </w:r>
      <w:r>
        <w:t xml:space="preserve">Проверка данных</w:t>
      </w:r>
    </w:p>
    <w:p>
      <w:pPr>
        <w:pStyle w:val="FirstParagraph"/>
      </w:pPr>
      <w:r>
        <w:t xml:space="preserve">По доступным данным визита V1 формальные отклонения от критериев включения/невключения были выявлены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данных.</w:t>
      </w:r>
    </w:p>
    <w:p>
      <w:pPr>
        <w:pStyle w:val="TableCaption"/>
      </w:pPr>
      <w:bookmarkStart w:id="20" w:name="tab:unnamed-chunk-3"/>
      <w:bookmarkEnd w:id="20"/>
      <w:r>
        <w:t xml:space="preserve">Table 1.1:</w:t>
      </w:r>
      <w:r>
        <w:t xml:space="preserve"> </w:t>
      </w:r>
      <w:r>
        <w:t xml:space="preserve">Количество пациентов с отклонениями на этапах вкл/искл.</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6"/>
        <w:gridCol w:w="820"/>
        <w:gridCol w:w="1548"/>
        <w:gridCol w:w="1659"/>
        <w:gridCol w:w="227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Возраст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Пол</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NT-proBNP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СКФ (eGFR)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Всего не подошло</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417</w:t>
            </w:r>
          </w:p>
        </w:tc>
      </w:tr>
    </w:tbl>
    <w:bookmarkEnd w:id="21"/>
    <w:bookmarkStart w:id="23" w:name="X657eec22441ed9cde3627e94174dae6da5c07fe"/>
    <w:p>
      <w:pPr>
        <w:pStyle w:val="Heading1"/>
      </w:pPr>
      <w:r>
        <w:rPr>
          <w:rStyle w:val="SectionNumber"/>
        </w:rPr>
        <w:t xml:space="preserve">2</w:t>
      </w:r>
      <w:r>
        <w:tab/>
      </w:r>
      <w:r>
        <w:t xml:space="preserve">Описательная характеристика показателей на первом визите.</w:t>
      </w:r>
    </w:p>
    <w:p>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кг/м², при диапазоне значений от 13.0 до 65.6 кг/м², что соответствует преимущественно избыточной массе тела.</w:t>
      </w:r>
    </w:p>
    <w:p>
      <w:pPr>
        <w:pStyle w:val="BodyText"/>
      </w:pPr>
      <w:r>
        <w:t xml:space="preserve">Исходный уровень NT-proBNP характеризовался выраженной вариабельностью и асимметрией распределения: среднее значение составило 1722.4 ± 1582.1 пг/мл,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pPr>
        <w:pStyle w:val="BodyText"/>
      </w:pPr>
      <w:r>
        <w:t xml:space="preserve">Качество жизни по шкале KCCQ характеризовалось умеренным снижением: среднее значение общего балла составило 54.7 ± 17.9, медиана - 55 баллов при полном диапазоне значений от 0 до 100.</w:t>
      </w:r>
    </w:p>
    <w:p>
      <w:pPr>
        <w:pStyle w:val="BodyText"/>
      </w:pPr>
      <w:r>
        <w:t xml:space="preserve">В каждую группу лечения было включено по 1100 пациентов. Исходные демографические и клинические характеристики в группах Crataegus и Placebo были сопоставимы.</w:t>
      </w:r>
    </w:p>
    <w:p>
      <w:pPr>
        <w:pStyle w:val="BodyText"/>
      </w:pPr>
      <w:r>
        <w:t xml:space="preserve">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Placebo.</w:t>
      </w:r>
    </w:p>
    <w:p>
      <w:pPr>
        <w:pStyle w:val="BodyText"/>
      </w:pPr>
      <w:r>
        <w:t xml:space="preserve">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pPr>
        <w:pStyle w:val="BodyText"/>
      </w:pPr>
      <w:r>
        <w:t xml:space="preserve">Исходные уровни NT-proBNP были высокими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значениями около 55 баллов.</w:t>
      </w:r>
    </w:p>
    <w:p>
      <w:pPr>
        <w:pStyle w:val="BodyText"/>
      </w:pPr>
      <w:r>
        <w:t xml:space="preserve">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pPr>
        <w:pStyle w:val="TableCaption"/>
      </w:pPr>
      <w:bookmarkStart w:id="22" w:name="tab:tbl-demographics"/>
      <w:bookmarkEnd w:id="22"/>
      <w:r>
        <w:t xml:space="preserve">Table 2.1:</w:t>
      </w:r>
      <w:r>
        <w:t xml:space="preserve"> </w:t>
      </w:r>
      <w:r>
        <w:t xml:space="preserve">Клинико-демографические характеристики групп</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4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Crataegus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Пол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 (53%)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 (58%)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 (56%)</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Возраст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65.9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 (9.9)</w:t>
            </w:r>
          </w:p>
        </w:tc>
      </w:tr>
      <w:tr>
        <w:trPr>
          <w:trHeight w:val="5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r>
      <w:tr>
        <w:trPr>
          <w:trHeight w:val="60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Рост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r>
      <w:tr>
        <w:trPr>
          <w:trHeight w:val="60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Масса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81.4 (15.6)</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r>
      <w:tr>
        <w:trPr>
          <w:trHeight w:val="60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Индекс массы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(6.3)</w:t>
            </w:r>
          </w:p>
        </w:tc>
      </w:tr>
      <w:tr>
        <w:trPr>
          <w:trHeight w:val="5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KCCQ Overall Score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 (43.0; 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r>
      <w:tr>
        <w:trPr>
          <w:trHeight w:val="57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ЧСС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ЧДД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 (9.3%)</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АД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 (11%)</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температуры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 (10%)</w:t>
            </w:r>
          </w:p>
        </w:tc>
      </w:tr>
      <w:tr>
        <w:trPr>
          <w:trHeight w:val="60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Гемоглобин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r>
      <w:tr>
        <w:trPr>
          <w:trHeight w:val="57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18.0</w:t>
            </w:r>
          </w:p>
        </w:tc>
      </w:tr>
      <w:tr>
        <w:trPr>
          <w:trHeight w:val="60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Лейкоциты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r>
      <w:tr>
        <w:trPr>
          <w:trHeight w:val="57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r>
      <w:tr>
        <w:trPr>
          <w:trHeight w:val="61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Тромбоциты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241.0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241.8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241.4 (61.0)</w:t>
            </w:r>
          </w:p>
        </w:tc>
      </w:tr>
      <w:tr>
        <w:trPr>
          <w:trHeight w:val="5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NT-proBNP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1,240.5 (716.0; 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1,253.0 (723.0; 2,162.0)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1,251.0 (720.0; 2,147.5)</w:t>
            </w:r>
          </w:p>
        </w:tc>
      </w:tr>
      <w:tr>
        <w:trPr>
          <w:trHeight w:val="60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 – 14,282.0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Креатинин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r>
      <w:tr>
        <w:trPr>
          <w:trHeight w:val="57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СКФ (исходная)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 (17.4)</w:t>
            </w:r>
          </w:p>
        </w:tc>
      </w:tr>
      <w:tr>
        <w:trPr>
          <w:trHeight w:val="57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128.0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Калий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r>
      <w:tr>
        <w:trPr>
          <w:trHeight w:val="57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Нарушение ритма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 (10%)</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Изменения ST-T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QT-аномалия</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(9.7%)</w:t>
            </w:r>
          </w:p>
        </w:tc>
      </w:tr>
      <w:tr>
        <w:trPr>
          <w:trHeight w:val="360" w:hRule="auto"/>
        </w:trPr>
        footer 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bookmarkEnd w:id="23"/>
    <w:bookmarkStart w:id="28" w:name="анализ-пкт"/>
    <w:p>
      <w:pPr>
        <w:pStyle w:val="Heading1"/>
      </w:pPr>
      <w:r>
        <w:rPr>
          <w:rStyle w:val="SectionNumber"/>
        </w:rPr>
        <w:t xml:space="preserve">3</w:t>
      </w:r>
      <w:r>
        <w:tab/>
      </w:r>
      <w:r>
        <w:t xml:space="preserve">Анализ ПКТ</w:t>
      </w:r>
    </w:p>
    <w:p>
      <w:pPr>
        <w:pStyle w:val="FirstParagraph"/>
      </w:pPr>
      <w:r>
        <w:t xml:space="preserve">Для оценка первичной конечной точки будет проведен анализ с использованием модели пропорциональных рисков Кокса (Cox Proportional Hazards Model).</w:t>
      </w:r>
    </w:p>
    <w:p>
      <w:pPr>
        <w:pStyle w:val="BodyText"/>
      </w:pPr>
      <w:r>
        <w:t xml:space="preserve">Для подтверждения корректности использования модели Кокса была проведена проверка допущения о пропорциональности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стабильной на всем интервале наблюдения (24 месяца).</w:t>
      </w:r>
    </w:p>
    <w:p>
      <w:pPr>
        <w:pStyle w:val="BodyText"/>
      </w:pPr>
      <w:r>
        <w:t xml:space="preserve">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экстракта боярышника не приносит дополнительного статистически значимого снижения риска по жестким конечным точкам.</w:t>
      </w:r>
    </w:p>
    <w:p>
      <w:pPr>
        <w:pStyle w:val="TableCaption"/>
      </w:pPr>
      <w:bookmarkStart w:id="24" w:name="tab:unnamed-chunk-4"/>
      <w:bookmarkEnd w:id="24"/>
      <w:r>
        <w:t xml:space="preserve">Table 3.1:</w:t>
      </w:r>
      <w:r>
        <w:t xml:space="preserve"> </w:t>
      </w:r>
      <w:r>
        <w:t xml:space="preserve">Результаты анализа пропорциональных рисков Кокса</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Переменная</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groupPlacebo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0.92-1.11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0.870</w:t>
            </w:r>
          </w:p>
        </w:tc>
      </w:tr>
    </w:tbl>
    <w:p>
      <w:pPr>
        <w:pStyle w:val="BodyText"/>
      </w:pPr>
      <w:r>
        <w:drawing>
          <wp:inline>
            <wp:extent cx="5334000" cy="4000500"/>
            <wp:effectExtent b="0" l="0" r="0" t="0"/>
            <wp:docPr descr="" title="" id="26" name="Picture"/>
            <a:graphic>
              <a:graphicData uri="http://schemas.openxmlformats.org/drawingml/2006/picture">
                <pic:pic>
                  <pic:nvPicPr>
                    <pic:cNvPr descr="Report_files/figure-docx/unnamed-chunk-5-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bookmarkEnd w:id="28"/>
    <w:bookmarkStart w:id="32" w:name="анализ-вкт"/>
    <w:p>
      <w:pPr>
        <w:pStyle w:val="Heading1"/>
      </w:pPr>
      <w:r>
        <w:rPr>
          <w:rStyle w:val="SectionNumber"/>
        </w:rPr>
        <w:t xml:space="preserve">4</w:t>
      </w:r>
      <w:r>
        <w:tab/>
      </w:r>
      <w:r>
        <w:t xml:space="preserve">Анализ ВКТ</w:t>
      </w:r>
    </w:p>
    <w:p>
      <w:pPr>
        <w:pStyle w:val="FirstParagraph"/>
      </w:pPr>
      <w:r>
        <w:t xml:space="preserve">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Время до</w:t>
      </w:r>
      <w:r>
        <w:t xml:space="preserve"> </w:t>
      </w:r>
      <w:r>
        <w:t xml:space="preserve">“Смерти ИЛИ Госпитализации”</w:t>
      </w:r>
      <w:r>
        <w:t xml:space="preserve"> </w:t>
      </w:r>
      <w:r>
        <w:t xml:space="preserve">(Primary Composite Endpoint). Здесь используется обычный Каплан-Мейер.</w:t>
      </w:r>
    </w:p>
    <w:p>
      <w:pPr>
        <w:pStyle w:val="SourceCode"/>
      </w:pPr>
      <w:r>
        <w:rPr>
          <w:rStyle w:val="VerbatimChar"/>
        </w:rPr>
        <w:t xml:space="preserve">## Ignoring unknown labels:</w:t>
      </w:r>
      <w:r>
        <w:br/>
      </w:r>
      <w:r>
        <w:rPr>
          <w:rStyle w:val="VerbatimChar"/>
        </w:rPr>
        <w:t xml:space="preserve">## • colour : "Strata"</w:t>
      </w:r>
    </w:p>
    <w:p>
      <w:pPr>
        <w:pStyle w:val="FirstParagraph"/>
      </w:pPr>
      <w:r>
        <w:drawing>
          <wp:inline>
            <wp:extent cx="5334000" cy="4267200"/>
            <wp:effectExtent b="0" l="0" r="0" t="0"/>
            <wp:docPr descr="" title="" id="30" name="Picture"/>
            <a:graphic>
              <a:graphicData uri="http://schemas.openxmlformats.org/drawingml/2006/picture">
                <pic:pic>
                  <pic:nvPicPr>
                    <pic:cNvPr descr="Report_files/figure-docx/unnamed-chunk-6-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Анализ отдельных компонентов с использованием моделей конкурирующих рисков подтвердил результаты первичного анализа. Высокая частота событий в исследуемой популяции (более половины пациентов были госпитализированы и почти четверть скончались от СС-причин в течение 2 лет) подчеркивает тяжесть отобранной когорты, однако добавление боярышника к оптимальной базовой терапии не оказало влияния ни на риск госпитализаций, ни на показатели смертности.</w:t>
      </w:r>
    </w:p>
    <w:bookmarkEnd w:id="32"/>
    <w:bookmarkStart w:id="53" w:name="X28276b2e5d2acbca9029dd6420dd2f79a44109c"/>
    <w:p>
      <w:pPr>
        <w:pStyle w:val="Heading1"/>
      </w:pPr>
      <w:r>
        <w:rPr>
          <w:rStyle w:val="SectionNumber"/>
        </w:rPr>
        <w:t xml:space="preserve">5</w:t>
      </w:r>
      <w:r>
        <w:tab/>
      </w:r>
      <w:r>
        <w:t xml:space="preserve">Для смерти и госпитализации по отдельности графики CIF</w:t>
      </w:r>
    </w:p>
    <w:p>
      <w:pPr>
        <w:pStyle w:val="SourceCode"/>
      </w:pPr>
      <w:r>
        <w:rPr>
          <w:rStyle w:val="VerbatimChar"/>
        </w:rPr>
        <w:t xml:space="preserve">## </w:t>
      </w:r>
      <w:r>
        <w:br/>
      </w:r>
      <w:r>
        <w:rPr>
          <w:rStyle w:val="VerbatimChar"/>
        </w:rPr>
        <w:t xml:space="preserve">## Присоединяю пакет: 'tidycmprsk'</w:t>
      </w:r>
    </w:p>
    <w:p>
      <w:pPr>
        <w:pStyle w:val="SourceCode"/>
      </w:pPr>
      <w:r>
        <w:rPr>
          <w:rStyle w:val="VerbatimChar"/>
        </w:rPr>
        <w:t xml:space="preserve">## Следующий объект скрыт от 'package:gtsummary':</w:t>
      </w:r>
      <w:r>
        <w:br/>
      </w:r>
      <w:r>
        <w:rPr>
          <w:rStyle w:val="VerbatimChar"/>
        </w:rPr>
        <w:t xml:space="preserve">## </w:t>
      </w:r>
      <w:r>
        <w:br/>
      </w:r>
      <w:r>
        <w:rPr>
          <w:rStyle w:val="VerbatimChar"/>
        </w:rPr>
        <w:t xml:space="preserve">##     trial</w:t>
      </w:r>
    </w:p>
    <w:p>
      <w:pPr>
        <w:pStyle w:val="FirstParagraph"/>
      </w:pPr>
      <w:r>
        <w:drawing>
          <wp:inline>
            <wp:extent cx="5334000" cy="4267200"/>
            <wp:effectExtent b="0" l="0" r="0" t="0"/>
            <wp:docPr descr="" title="" id="34" name="Picture"/>
            <a:graphic>
              <a:graphicData uri="http://schemas.openxmlformats.org/drawingml/2006/picture">
                <pic:pic>
                  <pic:nvPicPr>
                    <pic:cNvPr descr="Report_files/figure-docx/unnamed-chunk-7-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37" name="Picture"/>
            <a:graphic>
              <a:graphicData uri="http://schemas.openxmlformats.org/drawingml/2006/picture">
                <pic:pic>
                  <pic:nvPicPr>
                    <pic:cNvPr descr="Report_files/figure-docx/unnamed-chunk-8-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Анализ изменение качества жизни по шкале KCCQ проводился с помощью ANCOVA.</w:t>
      </w:r>
    </w:p>
    <w:p>
      <w:pPr>
        <w:pStyle w:val="TableCaption"/>
      </w:pPr>
      <w:bookmarkStart w:id="39" w:name="tab:unnamed-chunk-10"/>
      <w:bookmarkEnd w:id="39"/>
      <w:r>
        <w:t xml:space="preserve">Table 5.1:</w:t>
      </w:r>
      <w:r>
        <w:t xml:space="preserve"> </w:t>
      </w:r>
      <w:r>
        <w:t xml:space="preserve">Частота регистрации сердечно-сосудистых осложнений и летальных исходов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4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Тип зарегистрированного осложнения</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CENSORED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 (21%)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CV_DEATH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HF_HOSP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 (55%)</w:t>
            </w:r>
          </w:p>
        </w:tc>
      </w:tr>
      <w:tr>
        <w:trPr>
          <w:trHeight w:val="61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12 мес.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(15%)</w:t>
            </w:r>
          </w:p>
        </w:tc>
      </w:tr>
      <w:tr>
        <w:trPr>
          <w:trHeight w:val="61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360" w:hRule="auto"/>
        </w:trPr>
        footer1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p>
      <w:pPr>
        <w:pStyle w:val="BodyText"/>
      </w:pPr>
      <w:r>
        <w:t xml:space="preserve">ANCOVA</w:t>
      </w:r>
    </w:p>
    <w:p>
      <w:pPr>
        <w:pStyle w:val="TableCaption"/>
      </w:pPr>
      <w:bookmarkStart w:id="40" w:name="tab:ancova"/>
      <w:bookmarkEnd w:id="40"/>
      <w:r>
        <w:t xml:space="preserve">Table 5.2:</w:t>
      </w:r>
      <w:r>
        <w:t xml:space="preserve"> </w:t>
      </w:r>
      <w:r>
        <w:t xml:space="preserve">Оценка межгрупповых различий качества жизни (KCCQ) с поправкой на исходный уровень (ANCOVA)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Визит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Межгрупповая разница (95% ДИ)</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p-значение</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мес</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 (-1.00; 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w:t>
            </w:r>
          </w:p>
        </w:tc>
      </w:tr>
      <w:tr>
        <w:trPr>
          <w:trHeight w:val="61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 (-0.59; 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Разница рассчитана для группы Боярышник относительно группы Плацебо.</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p>
      <w:pPr>
        <w:spacing w:before="0" w:after="60"/>
        <w:keepNext/>
        <w:jc w:val="start"/>
        <w:pStyle w:val="caption"/>
      </w:pPr>
      <w:r>
        <w:rPr>
          <w:rFonts w:ascii="Calibri" w:hAnsi="Calibri"/>
          <w:sz w:val="20"/>
          <w:color w:val="333333"/>
        </w:rPr>
        <w:t xml:space="default">Данные представлены как среднее±СО. Межгрупповая разница на 12 и 24 мес оценена ANCOVA с поправкой на исходный KCCQ.</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Средняя межгрупповая разница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58.4±20.2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 (-1.0 до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(-0.6 до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w:t>
            </w:r>
          </w:p>
        </w:tc>
      </w:tr>
    </w:tbl>
    <w:p>
      <w:pPr>
        <w:pStyle w:val="BodyText"/>
      </w:pPr>
      <w:r>
        <w:t xml:space="preserve">Таблица Х. Динамика качества жизни по шкале KCCQ</w:t>
      </w:r>
    </w:p>
    <w:p>
      <w:pPr>
        <w:pStyle w:val="BodyText"/>
      </w:pPr>
      <w:r>
        <w:t xml:space="preserve">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 ДИ от −1,0 до 1,5; p = 0,678). Через 24 месяца наблюдения соответствующая скорректированная межгрупповая разница составила 0,9 балла (95% ДИ от −0,6 до 2,4; p = 0,234).</w:t>
      </w:r>
      <w:r>
        <w:t xml:space="preserve"> </w:t>
      </w:r>
      <w:r>
        <w:t xml:space="preserve">Дополнительно динамика качества жизни по KCCQ в зависимости от группы лечения в различных сроках наблюдения отражены на рисунке Х.</w:t>
      </w:r>
    </w:p>
    <w:p>
      <w:pPr>
        <w:pStyle w:val="BodyText"/>
      </w:pPr>
      <w:r>
        <w:rPr>
          <w:i/>
          <w:iCs/>
        </w:rPr>
        <w:t xml:space="preserve">Рисунок</w:t>
      </w:r>
      <w:r>
        <w:t xml:space="preserve"> </w:t>
      </w:r>
      <w:r>
        <w:drawing>
          <wp:inline>
            <wp:extent cx="4620126" cy="3696101"/>
            <wp:effectExtent b="0" l="0" r="0" t="0"/>
            <wp:docPr descr="" title="" id="42" name="Picture"/>
            <a:graphic>
              <a:graphicData uri="http://schemas.openxmlformats.org/drawingml/2006/picture">
                <pic:pic>
                  <pic:nvPicPr>
                    <pic:cNvPr descr="Report_files/figure-docx/unnamed-chunk-14-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Рисунок X. Динамика качества жизни по шкале KCCQ в группах лечения</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Клинически значимое улучшение качества жизни по KCCQ</w:t>
      </w:r>
    </w:p>
    <w:p>
      <w:pPr>
        <w:spacing w:before="0" w:after="60"/>
        <w:keepNext/>
        <w:jc w:val="start"/>
        <w:pStyle w:val="caption"/>
      </w:pPr>
      <w:r>
        <w:rPr>
          <w:rFonts w:ascii="Calibri" w:hAnsi="Calibri"/>
          <w:sz w:val="20"/>
          <w:color w:val="333333"/>
        </w:rPr>
        <w:t xml:space="default">Улучшение определено как ΔKCCQ ≥ 5 баллов от исходного уровня. В анализ включены пациенты с оценкой на соответствующем визите.</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 (46.3%)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r>
    </w:tbl>
    <w:p>
      <w:pPr>
        <w:pStyle w:val="BodyText"/>
      </w:pPr>
      <w:r>
        <w:t xml:space="preserve">Как уже отмечалось, клинически значимое улучшение определено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w:t>
      </w:r>
      <w:r>
        <w:t xml:space="preserve"> </w:t>
      </w:r>
      <w:r>
        <w:t xml:space="preserve">Через 24 месяца клинически значимое улучшение наблюдалось у 352 пациентов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w:t>
      </w:r>
    </w:p>
    <w:p>
      <w:pPr>
        <w:pStyle w:val="BodyText"/>
      </w:pPr>
      <w:r>
        <w:drawing>
          <wp:inline>
            <wp:extent cx="4620126" cy="3696101"/>
            <wp:effectExtent b="0" l="0" r="0" t="0"/>
            <wp:docPr descr="" title="" id="45" name="Picture"/>
            <a:graphic>
              <a:graphicData uri="http://schemas.openxmlformats.org/drawingml/2006/picture">
                <pic:pic>
                  <pic:nvPicPr>
                    <pic:cNvPr descr="Report_files/figure-docx/unnamed-chunk-17-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8" name="Picture"/>
            <a:graphic>
              <a:graphicData uri="http://schemas.openxmlformats.org/drawingml/2006/picture">
                <pic:pic>
                  <pic:nvPicPr>
                    <pic:cNvPr descr="Report_files/figure-docx/unnamed-chunk-1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pPr>
        <w:pStyle w:val="SourceCode"/>
      </w:pPr>
      <w:r>
        <w:rPr>
          <w:rStyle w:val="VerbatimChar"/>
        </w:rPr>
        <w:t xml:space="preserve">## # A tibble: 1 × 5</w:t>
      </w:r>
      <w:r>
        <w:br/>
      </w:r>
      <w:r>
        <w:rPr>
          <w:rStyle w:val="VerbatimChar"/>
        </w:rPr>
        <w:t xml:space="preserve">##   VISIT  ratio   lcl   ucl  pval</w:t>
      </w:r>
      <w:r>
        <w:br/>
      </w:r>
      <w:r>
        <w:rPr>
          <w:rStyle w:val="VerbatimChar"/>
        </w:rPr>
        <w:t xml:space="preserve">##   &lt;chr&gt;  &lt;dbl&gt; &lt;dbl&gt; &lt;dbl&gt; &lt;dbl&gt;</w:t>
      </w:r>
      <w:r>
        <w:br/>
      </w:r>
      <w:r>
        <w:rPr>
          <w:rStyle w:val="VerbatimChar"/>
        </w:rPr>
        <w:t xml:space="preserve">## 1 12 мес 0.994 0.940  1.05 0.824</w:t>
      </w:r>
    </w:p>
    <w:p>
      <w:pPr>
        <w:pStyle w:val="SourceCode"/>
      </w:pPr>
      <w:r>
        <w:rPr>
          <w:rStyle w:val="VerbatimChar"/>
        </w:rPr>
        <w:t xml:space="preserve">## # A tibble: 1 × 5</w:t>
      </w:r>
      <w:r>
        <w:br/>
      </w:r>
      <w:r>
        <w:rPr>
          <w:rStyle w:val="VerbatimChar"/>
        </w:rPr>
        <w:t xml:space="preserve">##   VISIT  ratio   lcl   ucl  pval</w:t>
      </w:r>
      <w:r>
        <w:br/>
      </w:r>
      <w:r>
        <w:rPr>
          <w:rStyle w:val="VerbatimChar"/>
        </w:rPr>
        <w:t xml:space="preserve">##   &lt;chr&gt;  &lt;dbl&gt; &lt;dbl&gt; &lt;dbl&gt; &lt;dbl&gt;</w:t>
      </w:r>
      <w:r>
        <w:br/>
      </w:r>
      <w:r>
        <w:rPr>
          <w:rStyle w:val="VerbatimChar"/>
        </w:rPr>
        <w:t xml:space="preserve">## 1 24 мес  1.00 0.936  1.08 0.914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NT-proBNP: динамика (log-ANCOVA)</w:t>
      </w:r>
    </w:p>
    <w:p>
      <w:pPr>
        <w:spacing w:before="0" w:after="60"/>
        <w:keepNext/>
        <w:jc w:val="start"/>
        <w:pStyle w:val="caption"/>
      </w:pPr>
      <w:r>
        <w:rPr>
          <w:rFonts w:ascii="Calibri" w:hAnsi="Calibri"/>
          <w:sz w:val="20"/>
          <w:color w:val="333333"/>
        </w:rPr>
        <w:t xml:space="default">NT-proBNP проанализирован после лог-преобразования; представлены геометрические средние. Межгрупповый эффект — отношение геом. средних (Crataegus/Placebo), 95% ДИ.</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Отношение геом. средних (ANCOVA),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(0.94 до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(0.94 до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0.914</w:t>
            </w:r>
          </w:p>
        </w:tc>
      </w:tr>
      <w:tr>
        <w:trPr>
          <w:cantSplit/>
        </w:trPr>
        <w:tc>
          <w:tcPr>
            <w:gridSpan w:val="5"/>
          </w:tcPr>
          <w:p>
            <w:pPr>
              <w:spacing w:before="0" w:after="60"/>
              <w:keepNext/>
            </w:pPr>
            <w:r>
              <w:rPr>
                <w:rFonts w:ascii="Calibri" w:hAnsi="Calibri"/>
                <w:sz w:val="20"/>
              </w:rPr>
              <w:t xml:space="default">*Изменение от исходного рассчитано как (геом. среднее на визите / геом. среднее исходно − 1)×100%.</w:t>
            </w:r>
          </w:p>
        </w:tc>
      </w:tr>
    </w:tbl>
    <w:p>
      <w:pPr>
        <w:pStyle w:val="FirstParagraph"/>
      </w:pPr>
      <w:r>
        <w:t xml:space="preserve">Таблица Х. Динамика уровня NT-proBNP</w:t>
      </w:r>
    </w:p>
    <w:p>
      <w:pPr>
        <w:pStyle w:val="BodyText"/>
      </w:pPr>
      <w:r>
        <w:t xml:space="preserve">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 Результаты представлены в виде отношения геометрических средних между группами лечения с соответствующими 95% доверительными интервалами. (</w:t>
      </w:r>
      <w:r>
        <w:rPr>
          <w:i/>
          <w:iCs/>
        </w:rPr>
        <w:t xml:space="preserve">ЭТО НАДО ПЕРЕМЕСТИТЬ В РАЗДЕЛ СТАТ АНАЛИЗА</w:t>
      </w:r>
      <w:r>
        <w:t xml:space="preserve">)</w:t>
      </w:r>
      <w:r>
        <w:t xml:space="preserve"> </w:t>
      </w:r>
      <w:r>
        <w:t xml:space="preserve">Статистически значимых различий между группами лечения выявлено не было. Через 12 месяцев наблюдения отношение геометрических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0,914).Дополнительно динамика уровни NT-proBNP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51" name="Picture"/>
            <a:graphic>
              <a:graphicData uri="http://schemas.openxmlformats.org/drawingml/2006/picture">
                <pic:pic>
                  <pic:nvPicPr>
                    <pic:cNvPr descr="Report_files/figure-docx/unnamed-chunk-21-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Рисунок X. Динамика уровня NT-proBNP</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dcterms:created xsi:type="dcterms:W3CDTF">2026-01-21T06:27:58Z</dcterms:created>
  <dcterms:modified xsi:type="dcterms:W3CDTF">2026-01-21T06:27:58Z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