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25.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w:t>
      </w:r>
    </w:p>
    <w:p>
      <w:pPr>
        <w:pStyle w:val="Author"/>
      </w:pPr>
      <w:r>
        <w:t xml:space="preserve">Выполнил(и): Бектур Бердибеков, Анастасия Генералова, Ирина Михайлова, Фирюза Лаптева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"1-4" \h \z \u</w:instrText>
            <w:fldChar w:fldCharType="separate"/>
            <w:fldChar w:fldCharType="end"/>
          </w:r>
        </w:p>
      </w:sdtContent>
    </w:sdt>
    <w:bookmarkStart w:id="21" w:name="проверка-данных"/>
    <w:p>
      <w:pPr>
        <w:pStyle w:val="Heading1"/>
      </w:pPr>
      <w:r>
        <w:rPr>
          <w:rStyle w:val="SectionNumber"/>
        </w:rPr>
        <w:t xml:space="preserve">1</w:t>
      </w:r>
      <w:r>
        <w:tab/>
      </w:r>
      <w:r>
        <w:t xml:space="preserve">Проверка данных</w:t>
      </w:r>
    </w:p>
    <w:p>
      <w:pPr>
        <w:pStyle w:val="FirstParagraph"/>
      </w:pPr>
      <w:r>
        <w:t xml:space="preserve">По доступным данным визита V1 формальные отклонения от критериев включения/невключения были выявлены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данных.</w:t>
      </w:r>
    </w:p>
    <w:p>
      <w:pPr>
        <w:pStyle w:val="TableCaption"/>
      </w:pPr>
      <w:bookmarkStart w:id="20" w:name="tab:unnamed-chunk-3"/>
      <w:bookmarkEnd w:id="20"/>
      <w:r>
        <w:t xml:space="preserve">Table 1.1:</w:t>
      </w:r>
      <w:r>
        <w:t xml:space="preserve"> </w:t>
      </w:r>
      <w:r>
        <w:t xml:space="preserve">Количество пациентов с отклонениями на этапах вкл/искл.</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6"/>
        <w:gridCol w:w="820"/>
        <w:gridCol w:w="1548"/>
        <w:gridCol w:w="1659"/>
        <w:gridCol w:w="227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Возраст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Пол</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NT-proBNP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СКФ (eGFR)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Всего не подошло</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417</w:t>
            </w:r>
          </w:p>
        </w:tc>
      </w:tr>
    </w:tbl>
    <w:bookmarkEnd w:id="21"/>
    <w:bookmarkStart w:id="23" w:name="X657eec22441ed9cde3627e94174dae6da5c07fe"/>
    <w:p>
      <w:pPr>
        <w:pStyle w:val="Heading1"/>
      </w:pPr>
      <w:r>
        <w:rPr>
          <w:rStyle w:val="SectionNumber"/>
        </w:rPr>
        <w:t xml:space="preserve">2</w:t>
      </w:r>
      <w:r>
        <w:tab/>
      </w:r>
      <w:r>
        <w:t xml:space="preserve">Описательная характеристика показателей на первом визите.</w:t>
      </w:r>
    </w:p>
    <w:p>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кг/м², при диапазоне значений от 13.0 до 65.6 кг/м², что соответствует преимущественно избыточной массе тела.</w:t>
      </w:r>
    </w:p>
    <w:p>
      <w:pPr>
        <w:pStyle w:val="BodyText"/>
      </w:pPr>
      <w:r>
        <w:t xml:space="preserve">Исходный уровень NT-proBNP характеризовался выраженной вариабельностью и асимметрией распределения: среднее значение составило 1722.4 ± 1582.1 пг/мл,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pPr>
        <w:pStyle w:val="BodyText"/>
      </w:pPr>
      <w:r>
        <w:t xml:space="preserve">Качество жизни по шкале KCCQ характеризовалось умеренным снижением: среднее значение общего балла составило 54.7 ± 17.9, медиана - 55 баллов при полном диапазоне значений от 0 до 100.</w:t>
      </w:r>
    </w:p>
    <w:p>
      <w:pPr>
        <w:pStyle w:val="BodyText"/>
      </w:pPr>
      <w:r>
        <w:t xml:space="preserve">В каждую группу лечения было включено по 1100 пациентов. Исходные демографические и клинические характеристики в группах Crataegus и Placebo были сопоставимы.</w:t>
      </w:r>
    </w:p>
    <w:p>
      <w:pPr>
        <w:pStyle w:val="BodyText"/>
      </w:pPr>
      <w:r>
        <w:t xml:space="preserve">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Placebo.</w:t>
      </w:r>
    </w:p>
    <w:p>
      <w:pPr>
        <w:pStyle w:val="BodyText"/>
      </w:pPr>
      <w:r>
        <w:t xml:space="preserve">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pPr>
        <w:pStyle w:val="BodyText"/>
      </w:pPr>
      <w:r>
        <w:t xml:space="preserve">Исходные уровни NT-proBNP были высокими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значениями около 55 баллов.</w:t>
      </w:r>
    </w:p>
    <w:p>
      <w:pPr>
        <w:pStyle w:val="BodyText"/>
      </w:pPr>
      <w:r>
        <w:t xml:space="preserve">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pPr>
        <w:pStyle w:val="TableCaption"/>
      </w:pPr>
      <w:bookmarkStart w:id="22" w:name="tab:tbl-demographics"/>
      <w:bookmarkEnd w:id="22"/>
      <w:r>
        <w:t xml:space="preserve">Table 2.1:</w:t>
      </w:r>
      <w:r>
        <w:t xml:space="preserve"> </w:t>
      </w:r>
      <w:r>
        <w:t xml:space="preserve">Клинико-демографические характеристики групп</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4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Crataegus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Пол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 (53%)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 (58%)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 (56%)</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Возраст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65.9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 (9.9)</w:t>
            </w:r>
          </w:p>
        </w:tc>
      </w:tr>
      <w:tr>
        <w:trPr>
          <w:trHeight w:val="5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r>
      <w:tr>
        <w:trPr>
          <w:trHeight w:val="60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Рост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r>
      <w:tr>
        <w:trPr>
          <w:trHeight w:val="60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Масса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81.4 (15.6)</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r>
      <w:tr>
        <w:trPr>
          <w:trHeight w:val="60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Индекс массы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(6.3)</w:t>
            </w:r>
          </w:p>
        </w:tc>
      </w:tr>
      <w:tr>
        <w:trPr>
          <w:trHeight w:val="5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KCCQ Overall Score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 (43.0; 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r>
      <w:tr>
        <w:trPr>
          <w:trHeight w:val="57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ЧСС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ЧДД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 (9.3%)</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АД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 (11%)</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температуры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 (10%)</w:t>
            </w:r>
          </w:p>
        </w:tc>
      </w:tr>
      <w:tr>
        <w:trPr>
          <w:trHeight w:val="60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Гемоглобин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r>
      <w:tr>
        <w:trPr>
          <w:trHeight w:val="57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18.0</w:t>
            </w:r>
          </w:p>
        </w:tc>
      </w:tr>
      <w:tr>
        <w:trPr>
          <w:trHeight w:val="60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Лейкоциты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r>
      <w:tr>
        <w:trPr>
          <w:trHeight w:val="57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r>
      <w:tr>
        <w:trPr>
          <w:trHeight w:val="61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Тромбоциты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241.0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241.8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241.4 (61.0)</w:t>
            </w:r>
          </w:p>
        </w:tc>
      </w:tr>
      <w:tr>
        <w:trPr>
          <w:trHeight w:val="5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NT-proBNP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1,240.5 (716.0; 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1,253.0 (723.0; 2,162.0)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1,251.0 (720.0; 2,147.5)</w:t>
            </w:r>
          </w:p>
        </w:tc>
      </w:tr>
      <w:tr>
        <w:trPr>
          <w:trHeight w:val="60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 – 14,282.0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Креатинин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r>
      <w:tr>
        <w:trPr>
          <w:trHeight w:val="57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СКФ (исходная)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 (17.4)</w:t>
            </w:r>
          </w:p>
        </w:tc>
      </w:tr>
      <w:tr>
        <w:trPr>
          <w:trHeight w:val="57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128.0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Калий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r>
      <w:tr>
        <w:trPr>
          <w:trHeight w:val="57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Нарушение ритма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 (10%)</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Изменения ST-T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QT-аномалия</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(9.7%)</w:t>
            </w:r>
          </w:p>
        </w:tc>
      </w:tr>
      <w:tr>
        <w:trPr>
          <w:trHeight w:val="360" w:hRule="auto"/>
        </w:trPr>
        footer 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bookmarkEnd w:id="23"/>
    <w:bookmarkStart w:id="28" w:name="анализ-пкт"/>
    <w:p>
      <w:pPr>
        <w:pStyle w:val="Heading1"/>
      </w:pPr>
      <w:r>
        <w:rPr>
          <w:rStyle w:val="SectionNumber"/>
        </w:rPr>
        <w:t xml:space="preserve">3</w:t>
      </w:r>
      <w:r>
        <w:tab/>
      </w:r>
      <w:r>
        <w:t xml:space="preserve">Анализ ПКТ</w:t>
      </w:r>
    </w:p>
    <w:p>
      <w:pPr>
        <w:pStyle w:val="FirstParagraph"/>
      </w:pPr>
      <w:r>
        <w:t xml:space="preserve">Для оценка первичной конечной точки будет проведен анализ с использованием модели пропорциональных рисков Кокса (Cox Proportional Hazards Model).</w:t>
      </w:r>
    </w:p>
    <w:p>
      <w:pPr>
        <w:pStyle w:val="BodyText"/>
      </w:pPr>
      <w:r>
        <w:t xml:space="preserve">Для подтверждения корректности использования модели Кокса была проведена проверка допущения о пропорциональности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стабильной на всем интервале наблюдения (24 месяца).</w:t>
      </w:r>
    </w:p>
    <w:p>
      <w:pPr>
        <w:pStyle w:val="BodyText"/>
      </w:pPr>
      <w:r>
        <w:t xml:space="preserve">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экстракта боярышника не приносит дополнительного статистически значимого снижения риска по жестким конечным точкам.</w:t>
      </w:r>
    </w:p>
    <w:p>
      <w:pPr>
        <w:pStyle w:val="TableCaption"/>
      </w:pPr>
      <w:bookmarkStart w:id="24" w:name="tab:unnamed-chunk-4"/>
      <w:bookmarkEnd w:id="24"/>
      <w:r>
        <w:t xml:space="preserve">Table 3.1:</w:t>
      </w:r>
      <w:r>
        <w:t xml:space="preserve"> </w:t>
      </w:r>
      <w:r>
        <w:t xml:space="preserve">Результаты анализа пропорциональных рисков Кокса</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Переменная</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groupPlacebo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0.92-1.11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0.870</w:t>
            </w:r>
          </w:p>
        </w:tc>
      </w:tr>
    </w:tbl>
    <w:p>
      <w:pPr>
        <w:pStyle w:val="BodyText"/>
      </w:pPr>
      <w:r>
        <w:drawing>
          <wp:inline>
            <wp:extent cx="5334000" cy="4000500"/>
            <wp:effectExtent b="0" l="0" r="0" t="0"/>
            <wp:docPr descr="" title="" id="26" name="Picture"/>
            <a:graphic>
              <a:graphicData uri="http://schemas.openxmlformats.org/drawingml/2006/picture">
                <pic:pic>
                  <pic:nvPicPr>
                    <pic:cNvPr descr="Report_files/figure-docx/unnamed-chunk-5-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bookmarkEnd w:id="28"/>
    <w:bookmarkStart w:id="54" w:name="анализ-вкт"/>
    <w:p>
      <w:pPr>
        <w:pStyle w:val="Heading1"/>
      </w:pPr>
      <w:r>
        <w:rPr>
          <w:rStyle w:val="SectionNumber"/>
        </w:rPr>
        <w:t xml:space="preserve">4</w:t>
      </w:r>
      <w:r>
        <w:tab/>
      </w:r>
      <w:r>
        <w:t xml:space="preserve">Анализ ВКТ</w:t>
      </w:r>
    </w:p>
    <w:p>
      <w:pPr>
        <w:pStyle w:val="FirstParagraph"/>
      </w:pPr>
      <w:r>
        <w:t xml:space="preserve">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Кривые выживаемости (Каплана-Мейера) демонстрируют высокую степень конгруэнтности на протяжении всего 24-месячного периода наблюдения. Выраженная суперпозиция доверительных интервалов подтверждает отсутствие превосходства исследуемой терапии над контрольной группой.</w:t>
      </w:r>
    </w:p>
    <w:p>
      <w:pPr>
        <w:pStyle w:val="BodyText"/>
      </w:pPr>
      <w:r>
        <w:drawing>
          <wp:inline>
            <wp:extent cx="5334000" cy="4267200"/>
            <wp:effectExtent b="0" l="0" r="0" t="0"/>
            <wp:docPr descr="" title="" id="30" name="Picture"/>
            <a:graphic>
              <a:graphicData uri="http://schemas.openxmlformats.org/drawingml/2006/picture">
                <pic:pic>
                  <pic:nvPicPr>
                    <pic:cNvPr descr="Report_files/figure-docx/unnamed-chunk-6-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Значение p=1(крайне редкое для реальных данных) указывает на абсолютную идентичность кривых накопления событий госпитализации в обеих группах. Это означает, что вероятность попасть в больницу с декомпенсацией СН была абсолютно одинаковой как для пациентов, принимавших Crataegus, так и для группы контроля.</w:t>
      </w:r>
    </w:p>
    <w:p>
      <w:pPr>
        <w:pStyle w:val="BodyText"/>
      </w:pPr>
      <w:r>
        <w:t xml:space="preserve">В отношении наиболее «жесткой» точки — смертности — наблюдается минимальное, статистически незначимое расхождение кривых.</w:t>
      </w:r>
    </w:p>
    <w:p>
      <w:pPr>
        <w:pStyle w:val="BodyText"/>
      </w:pPr>
      <w:r>
        <w:drawing>
          <wp:inline>
            <wp:extent cx="5334000" cy="4267200"/>
            <wp:effectExtent b="0" l="0" r="0" t="0"/>
            <wp:docPr descr="" title="" id="33" name="Picture"/>
            <a:graphic>
              <a:graphicData uri="http://schemas.openxmlformats.org/drawingml/2006/picture">
                <pic:pic>
                  <pic:nvPicPr>
                    <pic:cNvPr descr="Report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6" name="Picture"/>
            <a:graphic>
              <a:graphicData uri="http://schemas.openxmlformats.org/drawingml/2006/picture">
                <pic:pic>
                  <pic:nvPicPr>
                    <pic:cNvPr descr="Report_files/figure-docx/unnamed-chunk-7-2.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bookmarkStart w:id="38" w:name="tab:unnamed-chunk-8"/>
      <w:bookmarkEnd w:id="38"/>
      <w:r>
        <w:t xml:space="preserve">Table 4.1:</w:t>
      </w:r>
      <w:r>
        <w:t xml:space="preserve"> </w:t>
      </w:r>
      <w:r>
        <w:t xml:space="preserve">Частота регистрации сердечно-сосудистых осложнений и летальных исходов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4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Тип зарегистрированного осложнения</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CENSORED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 (21%)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CV_DEATH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HF_HOSP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 (55%)</w:t>
            </w:r>
          </w:p>
        </w:tc>
      </w:tr>
      <w:tr>
        <w:trPr>
          <w:trHeight w:val="61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12 мес.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(15%)</w:t>
            </w:r>
          </w:p>
        </w:tc>
      </w:tr>
      <w:tr>
        <w:trPr>
          <w:trHeight w:val="61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360" w:hRule="auto"/>
        </w:trPr>
        footer1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p>
      <w:pPr>
        <w:pStyle w:val="BodyText"/>
      </w:pPr>
      <w:r>
        <w:t xml:space="preserve">Анализ динамики качества жизни по шкале KCCQ</w:t>
      </w:r>
    </w:p>
    <w:p>
      <w:pPr>
        <w:pStyle w:val="BodyText"/>
      </w:pPr>
      <w:r>
        <w:t xml:space="preserve">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 ДИ от −1,0 до 1,5; p = 0,678). Через 24 месяца наблюдения соответствующая скорректированная межгрупповая разница составила 0,9 балла (95% ДИ от −0,6 до 2,4; p = 0,234).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p>
      <w:pPr>
        <w:spacing w:before="0" w:after="60"/>
        <w:keepNext/>
        <w:jc w:val="start"/>
        <w:pStyle w:val="caption"/>
      </w:pPr>
      <w:r>
        <w:rPr>
          <w:rFonts w:ascii="Calibri" w:hAnsi="Calibri"/>
          <w:sz w:val="20"/>
          <w:color w:val="333333"/>
        </w:rPr>
        <w:t xml:space="default">Данные представлены как среднее±СО. Межгрупповая разница на 12 и 24 мес оценена ANCOVA с поправкой на исходный KCCQ.</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Средняя межгрупповая разница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58.4±20.2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 (-1.0 до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(-0.6 до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w:t>
            </w:r>
          </w:p>
        </w:tc>
      </w:tr>
    </w:tbl>
    <w:p>
      <w:pPr>
        <w:pStyle w:val="BodyText"/>
      </w:pPr>
      <w:r>
        <w:t xml:space="preserve">Таблица Динамика качества жизни по шкале KCCQ</w:t>
      </w:r>
    </w:p>
    <w:p>
      <w:pPr>
        <w:pStyle w:val="BodyText"/>
      </w:pPr>
      <w:r>
        <w:t xml:space="preserve">Дополнительно динамика качества жизни по KCCQ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0" name="Picture"/>
            <a:graphic>
              <a:graphicData uri="http://schemas.openxmlformats.org/drawingml/2006/picture">
                <pic:pic>
                  <pic:nvPicPr>
                    <pic:cNvPr descr="Report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качества жизни по шкале KCCQ в группах лечения</w:t>
      </w:r>
    </w:p>
    <w:p>
      <w:pPr>
        <w:pStyle w:val="BodyText"/>
      </w:pPr>
      <w:r>
        <w:t xml:space="preserve">Как уже отмечалось, клинически значимое улучшение определено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 Через 24 месяца клинически значимое улучшение наблюдалось у 352 пациентов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 (Таблица Динамика качества жизни по шкале KCCQ).</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Клинически значимое улучшение качества жизни по KCCQ</w:t>
      </w:r>
    </w:p>
    <w:p>
      <w:pPr>
        <w:spacing w:before="0" w:after="60"/>
        <w:keepNext/>
        <w:jc w:val="start"/>
        <w:pStyle w:val="caption"/>
      </w:pPr>
      <w:r>
        <w:rPr>
          <w:rFonts w:ascii="Calibri" w:hAnsi="Calibri"/>
          <w:sz w:val="20"/>
          <w:color w:val="333333"/>
        </w:rPr>
        <w:t xml:space="default">Улучшение определено как ΔKCCQ ≥ 5 баллов от исходного уровня. В анализ включены пациенты с оценкой на соответствующем визите.</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 (46.3%)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r>
    </w:tbl>
    <w:p>
      <w:pPr>
        <w:pStyle w:val="BodyText"/>
      </w:pPr>
      <w:r>
        <w:t xml:space="preserve">Динамика качества жизни по шкале KCCQ (Клинически значимое улучшение качества жизни по KCCQ)</w:t>
      </w:r>
    </w:p>
    <w:p>
      <w:pPr>
        <w:pStyle w:val="BodyText"/>
      </w:pPr>
      <w:r>
        <w:t xml:space="preserve">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pPr>
        <w:pStyle w:val="BodyText"/>
      </w:pPr>
      <w:r>
        <w:drawing>
          <wp:inline>
            <wp:extent cx="4620126" cy="3696101"/>
            <wp:effectExtent b="0" l="0" r="0" t="0"/>
            <wp:docPr descr="" title="" id="43" name="Picture"/>
            <a:graphic>
              <a:graphicData uri="http://schemas.openxmlformats.org/drawingml/2006/picture">
                <pic:pic>
                  <pic:nvPicPr>
                    <pic:cNvPr descr="Report_files/figure-docx/unnamed-chunk-15-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Распределение значений NT-proBNP у пациентов на исходном визите</w:t>
      </w:r>
    </w:p>
    <w:p>
      <w:pPr>
        <w:pStyle w:val="BodyText"/>
      </w:pPr>
      <w:r>
        <w:drawing>
          <wp:inline>
            <wp:extent cx="4620126" cy="3696101"/>
            <wp:effectExtent b="0" l="0" r="0" t="0"/>
            <wp:docPr descr="" title="" id="46" name="Picture"/>
            <a:graphic>
              <a:graphicData uri="http://schemas.openxmlformats.org/drawingml/2006/picture">
                <pic:pic>
                  <pic:nvPicPr>
                    <pic:cNvPr descr="Report_files/figure-docx/unnamed-chunk-16-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Плотность распределения логарифмированных значений NT-proBNP на исходном визите</w:t>
      </w:r>
    </w:p>
    <w:p>
      <w:pPr>
        <w:pStyle w:val="BodyText"/>
      </w:pPr>
      <w:r>
        <w:t xml:space="preserve">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 Результаты представлены в виде отношения геометрических средних между группами лечения с соответствующими 95% доверительными интервалами. Статистически значимых различий между группами лечения выявлено не было. Через 12 месяцев наблюдения отношение геометрических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NT-proBNP: динамика (log-ANCOVA)</w:t>
      </w:r>
    </w:p>
    <w:p>
      <w:pPr>
        <w:spacing w:before="0" w:after="60"/>
        <w:keepNext/>
        <w:jc w:val="start"/>
        <w:pStyle w:val="caption"/>
      </w:pPr>
      <w:r>
        <w:rPr>
          <w:rFonts w:ascii="Calibri" w:hAnsi="Calibri"/>
          <w:sz w:val="20"/>
          <w:color w:val="333333"/>
        </w:rPr>
        <w:t xml:space="default">NT-proBNP проанализирован после лог-преобразования; представлены геометрические средние. Межгрупповый эффект — отношение геом. средних (Crataegus/Placebo), 95% ДИ.</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Отношение геом. средних (ANCOVA),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(0.94 до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(0.94 до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0.914</w:t>
            </w:r>
          </w:p>
        </w:tc>
      </w:tr>
      <w:tr>
        <w:trPr>
          <w:cantSplit/>
        </w:trPr>
        <w:tc>
          <w:tcPr>
            <w:gridSpan w:val="5"/>
          </w:tcPr>
          <w:p>
            <w:pPr>
              <w:spacing w:before="0" w:after="60"/>
              <w:keepNext/>
            </w:pPr>
            <w:r>
              <w:rPr>
                <w:rFonts w:ascii="Calibri" w:hAnsi="Calibri"/>
                <w:sz w:val="20"/>
              </w:rPr>
              <w:t xml:space="default">*Изменение от исходного рассчитано как (геом. среднее на визите / геом. среднее исходно − 1)×100%.</w:t>
            </w:r>
          </w:p>
        </w:tc>
      </w:tr>
    </w:tbl>
    <w:p>
      <w:pPr>
        <w:pStyle w:val="BodyText"/>
      </w:pPr>
      <w:r>
        <w:t xml:space="preserve">Динамика уровня NT-proBNP</w:t>
      </w:r>
    </w:p>
    <w:p>
      <w:pPr>
        <w:pStyle w:val="BodyText"/>
      </w:pPr>
      <w:r>
        <w:t xml:space="preserve">Дополнительно динамика уровни NT-proBNP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9" name="Picture"/>
            <a:graphic>
              <a:graphicData uri="http://schemas.openxmlformats.org/drawingml/2006/picture">
                <pic:pic>
                  <pic:nvPicPr>
                    <pic:cNvPr descr="Report_files/figure-docx/unnamed-chunk-1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уровня NT-proBNP в группах лечения</w:t>
      </w:r>
    </w:p>
    <w:bookmarkStart w:id="53" w:name="ancova-анализ-безопасности"/>
    <w:p>
      <w:pPr>
        <w:pStyle w:val="Heading2"/>
      </w:pPr>
      <w:r>
        <w:rPr>
          <w:rStyle w:val="SectionNumber"/>
        </w:rPr>
        <w:t xml:space="preserve">4.1</w:t>
      </w:r>
      <w:r>
        <w:tab/>
      </w:r>
      <w:r>
        <w:t xml:space="preserve">ANCOVA анализ безопасности</w:t>
      </w:r>
    </w:p>
    <w:bookmarkStart w:id="52" w:name="X712b0298ec691cff92e786346c8cd0fb3b4b253"/>
    <w:p>
      <w:pPr>
        <w:pStyle w:val="Heading3"/>
      </w:pPr>
      <w:r>
        <w:rPr>
          <w:rStyle w:val="SectionNumber"/>
        </w:rPr>
        <w:t xml:space="preserve">4.1.1</w:t>
      </w:r>
      <w:r>
        <w:tab/>
      </w:r>
      <w:r>
        <w:t xml:space="preserve">Сводная таблица ANCOVA результатов безопасности</w:t>
      </w:r>
    </w:p>
    <w:p>
      <w:pPr>
        <w:pStyle w:val="TableCaption"/>
      </w:pPr>
      <w:bookmarkStart w:id="51" w:name="tab:unnamed-chunk-21"/>
      <w:bookmarkEnd w:id="51"/>
      <w:r>
        <w:t xml:space="preserve">Table 4.2:</w:t>
      </w:r>
      <w:r>
        <w:t xml:space="preserve"> </w:t>
      </w:r>
      <w:r>
        <w:t xml:space="preserve">ANCOVA анализ - Сравнение групп (Placebo vs Crataegus, adjusted for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Visit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t_stat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p_value</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0.4374</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0.1193</w:t>
            </w:r>
          </w:p>
        </w:tc>
      </w:tr>
      <w:tr>
        <w:trPr>
          <w:trHeight w:val="57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0.3105</w:t>
            </w:r>
          </w:p>
        </w:tc>
      </w:tr>
      <w:tr>
        <w:trPr>
          <w:trHeight w:val="5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0.9703</w:t>
            </w:r>
          </w:p>
        </w:tc>
      </w:tr>
      <w:tr>
        <w:trPr>
          <w:trHeight w:val="5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0.3230</w:t>
            </w:r>
          </w:p>
        </w:tc>
      </w:tr>
    </w:tbl>
    <w:p>
      <w:pPr>
        <w:pStyle w:val="BodyText"/>
      </w:pPr>
      <w:r>
        <w:t xml:space="preserve">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месяцев: p=0.437; 24 месяца: p=0.099), eGFR показал аналогичный результат (12 месяцев: p=0.119; 24 месяца: p=0.311). Уровень калия был идентичен между группами (12 месяцев: p=0.970; 24 месяца: p=0.323). Таким образом, препарат Crataegus продемонстрировал профиль безопасности, сопоставимый с плацебо, без явных признаков нефротоксичности или электролитного дисбаланса.</w:t>
      </w:r>
    </w:p>
    <w:bookmarkEnd w:id="52"/>
    <w:bookmarkEnd w:id="53"/>
    <w:bookmarkEnd w:id="54"/>
    <w:bookmarkStart w:id="55" w:name="заключение"/>
    <w:p>
      <w:pPr>
        <w:pStyle w:val="Heading1"/>
      </w:pPr>
      <w:r>
        <w:rPr>
          <w:rStyle w:val="SectionNumber"/>
        </w:rPr>
        <w:t xml:space="preserve">5</w:t>
      </w:r>
      <w:r>
        <w:tab/>
      </w:r>
      <w:r>
        <w:t xml:space="preserve">Заключение</w:t>
      </w:r>
    </w:p>
    <w:p>
      <w:pPr>
        <w:pStyle w:val="FirstParagraph"/>
      </w:pPr>
      <w:r>
        <w:t xml:space="preserve">Проведенный анализ не продемонстрировал статистически значимого превосходства экстракта боярышника (Crataegus) по сравнению с плацебо в популяции пациентов с хронической сердечной недостаточностью со сниженной фракцией выброса левого желудочка, получавших оптимальную медикаментозную терапию, в отношении снижения риска наступления комбинированной первичной конечной точки, включающей сердечно-сосудистую смерть или повторную госпитализацию по поводу декомпенсации сердечной недостаточности. Анализ вторичных конечных точек, включая компоненты первичной конечной точки: госпитализации по поводу декомпенсации хронической сердечной недостаточности и сердечно-сосудистую смертность, выполненный с использованием методов анализа выживаемости, не выявил статистически значимых различий между группами лечения.</w:t>
      </w:r>
      <w:r>
        <w:t xml:space="preserve"> </w:t>
      </w:r>
      <w:r>
        <w:t xml:space="preserve">Изменения показателей качества жизни по шкале Kansas City Cardiomyopathy Questionnaire (KCCQ) и уровня NT-proBNP, оценённые отдельно на 12-м и 24-м месяцах наблюдения, также не продемонстрировали статистически значимых межгрупповых различий.</w:t>
      </w:r>
      <w:r>
        <w:t xml:space="preserve"> </w:t>
      </w:r>
      <w:r>
        <w:t xml:space="preserve">Анализ безопасности, включавший оценку некоторых показателей функции почек и электролитного баланса на протяжении периода наблюдения, не выявил клинически значимых различий между группами экстракта боярышника и плацебо.</w:t>
      </w:r>
      <w:r>
        <w:t xml:space="preserve"> </w:t>
      </w:r>
      <w:r>
        <w:t xml:space="preserve">В совокупности результаты исследования не подтверждают наличие статистически значимого эффекта лечения экстрактом боярышника по сравнению с плацебо в исследуемой популяции пациентов с хронической сердечной недостаточностью со сниженной фракцией выброса левого желудочка.</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dcterms:created xsi:type="dcterms:W3CDTF">2026-01-18T20:55:24Z</dcterms:created>
  <dcterms:modified xsi:type="dcterms:W3CDTF">2026-01-18T20:55:24Z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