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w:t>
      </w:r>
    </w:p>
    <w:p>
      <w:pPr>
        <w:pStyle w:val="Author"/>
      </w:pPr>
      <w:r>
        <w:t xml:space="preserve">Выполнил(и): Бектур Бердибеков, Анастасия Генералова, Ирина Михайлова, Фирюза Лаптева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NormalTok"/>
        </w:rPr>
        <w:t xml:space="preserve">team1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"data/team1_ecrf_wide.csv"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variability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team1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dfSummary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graph.col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graph.magnif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(variability,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"render"</w:t>
      </w:r>
      <w:r>
        <w:rPr>
          <w:rStyle w:val="NormalTok"/>
        </w:rPr>
        <w:t xml:space="preserve">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Проспективное, многоцентровое, рандомизированное, двойное слепое, плацебо-контролируемое клиническое исследование эффективности и безопасности экстракта боярышника (Crataegus) у пациентов с хронической сердечной недостаточностью со сниженной фракцией выброса левого желудочка.</dc:title>
  <dc:creator>Выполнил(и): Бектур Бердибеков, Анастасия Генералова, Ирина Михайлова, Фирюза Лаптева</dc:creator>
  <cp:keywords/>
  <dcterms:created xsi:type="dcterms:W3CDTF">2026-01-18T08:13:44Z</dcterms:created>
  <dcterms:modified xsi:type="dcterms:W3CDTF">2026-01-18T08:13:44Z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